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 </w:t>
      </w:r>
      <w:r>
        <w:rPr>
          <w:b w:val="1"/>
          <w:bCs w:val="1"/>
        </w:rPr>
        <w:t xml:space="preserve">Ley 12/2014, de 16 de diciembre, de Transparencia y Participación Ciudadana de la Comunidad Autónoma de la Región de Murcia</w:t>
      </w:r>
      <w:r>
        <w:rPr/>
        <w:t xml:space="preserve"> en su apartado 7. Encomiendas de gestión / </w:t>
      </w:r>
      <w:r>
        <w:rPr>
          <w:b w:val="1"/>
          <w:bCs w:val="1"/>
        </w:rPr>
        <w:t xml:space="preserve">1120 Subcontrataciones que se realicen, con mención de los adjudicatarios, procedimiento seguido para la adjudicación e importe de la misma</w:t>
      </w:r>
      <w:r>
        <w:rPr/>
        <w:t xml:space="preserve">, el Ayuntamiento de Cehegín, pone en conocimiento de la ciudadanía del municipio y del público en general que durante el 2022 y 2023  no existe constacia de comunicación a esta administración suponiéndose por tanto la no existencia de tal actividad, pudiendo utilizar la ciudadanía los medios legalmente establecidos para ejercer su derecho de acceso a la información pública.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2026-08-26T00:55:30+00:00</dcterms:created>
  <dcterms:modified xsi:type="dcterms:W3CDTF">2026-08-26T00:55:30+00:00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