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 </w:t>
      </w:r>
      <w:r>
        <w:rPr>
          <w:b w:val="1"/>
          <w:bCs w:val="1"/>
        </w:rPr>
        <w:t xml:space="preserve">“órgano”</w:t>
      </w:r>
      <w:r>
        <w:rPr/>
        <w:t xml:space="preserve"> en organización contratante. Se desplegarán los siguientes perfiles:</w:t>
      </w:r>
    </w:p>
    <w:p>
      <w:pPr/>
      <w:r>
        <w:rPr/>
        <w:t xml:space="preserve">Dentro de los perfiles, entrar en </w:t>
      </w:r>
      <w:r>
        <w:rPr>
          <w:b w:val="1"/>
          <w:bCs w:val="1"/>
        </w:rPr>
        <w:t xml:space="preserve">“Contratos Menores”</w:t>
      </w:r>
      <w:r>
        <w:rPr/>
        <w:t xml:space="preserve">. En esta pestaña se desplegarán todos los procedimientos de contratación y dentro de cada uno de ellos, en el apartado “Documentos” se recogen los pliegos. 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2026-10-07T02:09:09+00:00</dcterms:created>
  <dcterms:modified xsi:type="dcterms:W3CDTF">2026-10-07T02:09:09+00:00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