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Consultas activas</w:t>
      </w:r>
    </w:p>
    <w:tbl>
      <w:tblGrid>
        <w:gridCol w:w="2000" w:type="dxa"/>
        <w:gridCol w:w="600" w:type="dxa"/>
        <w:gridCol w:w="600" w:type="dxa"/>
        <w:gridCol w:w="1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00" w:type="pct"/>
          </w:tcPr>
          <w:p>
            <w:pPr/>
            <w:r>
              <w:rPr/>
              <w:t xml:space="preserve">Fecha de inicio</w:t>
            </w:r>
          </w:p>
        </w:tc>
        <w:tc>
          <w:tcPr>
            <w:tcW w:w="600" w:type="pct"/>
          </w:tcPr>
          <w:p>
            <w:pPr/>
            <w:r>
              <w:rPr/>
              <w:t xml:space="preserve">Fecha de fin</w:t>
            </w:r>
          </w:p>
        </w:tc>
        <w:tc>
          <w:tcPr>
            <w:tcW w:w="1800" w:type="pct"/>
          </w:tcPr>
          <w:p>
            <w:pPr/>
            <w:r>
              <w:rPr/>
              <w:t xml:space="preserve">Documentación</w:t>
            </w:r>
          </w:p>
        </w:tc>
      </w:tr>
      <w:tr>
        <w:trPr/>
        <w:tc>
          <w:tcPr>
            <w:tcW w:w="2000" w:type="pct"/>
          </w:tcPr>
          <w:p>
            <w:pPr/>
            <w:r>
              <w:rPr>
                <w:b w:val="1"/>
                <w:bCs w:val="1"/>
              </w:rPr>
              <w:t xml:space="preserve">Expediente 1631/2026--CH-E</w:t>
            </w:r>
            <w:r>
              <w:rPr/>
              <w:t xml:space="preserve"> Modificación de la Ordenanza Fiscal reguladora de la tasa por la realización de diversas actividades administrativas y ocupaciones privativas o aprovechamiento especial del dominio público local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17/08/2026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01/10/2026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>
                <w:b w:val="1"/>
                <w:bCs w:val="1"/>
              </w:rPr>
              <w:t xml:space="preserve">Expediente 2013/2026--CH-E</w:t>
            </w:r>
            <w:r>
              <w:rPr/>
              <w:t xml:space="preserve"> MC 065/2026. Suplemento de crédito: aportación municipal para la rehabilitación de la Casa de las Boticarias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14/08/2026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05/09/2026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>
                <w:b w:val="1"/>
                <w:bCs w:val="1"/>
              </w:rPr>
              <w:t xml:space="preserve">Expediente 1670/2026--CH-E</w:t>
            </w:r>
            <w:r>
              <w:rPr/>
              <w:t xml:space="preserve"> MC 060/2026. Suplemento de crédito con cargo al remanente de tesorería para gastos generales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13/08/2026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04/09/2026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>
                <w:b w:val="1"/>
                <w:bCs w:val="1"/>
              </w:rPr>
              <w:t xml:space="preserve">Expediente 0436/2026--CH-E</w:t>
            </w:r>
            <w:r>
              <w:rPr/>
              <w:t xml:space="preserve"> Presupuesto del ejercicio 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13/08/2026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04/09/2026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Consultas cerradas</w:t>
      </w:r>
    </w:p>
    <w:p>
      <w:pPr/>
      <w:r>
        <w:rPr>
          <w:b w:val="1"/>
          <w:bCs w:val="1"/>
        </w:rPr>
        <w:t xml:space="preserve">Ver consultas cerradas e histórico</w:t>
      </w:r>
    </w:p>
    <w:tbl>
      <w:tblGrid>
        <w:gridCol w:w="2000" w:type="dxa"/>
        <w:gridCol w:w="600" w:type="dxa"/>
        <w:gridCol w:w="600" w:type="dxa"/>
        <w:gridCol w:w="1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00" w:type="pct"/>
          </w:tcPr>
          <w:p>
            <w:pPr/>
            <w:r>
              <w:rPr/>
              <w:t xml:space="preserve">Fecha de inicio</w:t>
            </w:r>
          </w:p>
        </w:tc>
        <w:tc>
          <w:tcPr>
            <w:tcW w:w="600" w:type="pct"/>
          </w:tcPr>
          <w:p>
            <w:pPr/>
            <w:r>
              <w:rPr/>
              <w:t xml:space="preserve">Fecha de fin</w:t>
            </w:r>
          </w:p>
        </w:tc>
        <w:tc>
          <w:tcPr>
            <w:tcW w:w="1800" w:type="pct"/>
          </w:tcPr>
          <w:p>
            <w:pPr/>
            <w:r>
              <w:rPr/>
              <w:t xml:space="preserve">Documentación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MODIFICACION ORDENANZA FISCAL REGULADORA DE LA TASA POR LA PRESTACION DEL SERVICIO DE RECOGIDA DOMICILIARIA DE BASURAS Y TASAS POR TRANSPORTE, TRATAMIENTO Y ELIMINACION DE RESIDUOS 0128/2026--CH-E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12/02/2026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31/03/2026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CONSULTA PÚBLICA PREVIA AL ESTABLECIMIENTO DE LA ORDENANZA REGULADORA DE PRECIOS PÚBLICOS DEL AYUNTAMIENTO DE CEHEGIN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11/11/2025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MODIFICACION DE ORDENANZA FISCAL REGULADORA DE LA TASA POR LA REALIZACION DE DIVERSAS ACTIVIDADES ADMINISTRATIVAS Y OCUPACIONES PRIVATIVAS O APROVECHAMIENTO ESPECIAL DEL DOMINIO PUBLICO LOCAL DEL AYUNTAMIENTO DE CEHEGIN 3042/2025--CH-E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10/11/2025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MODIFICACION DE ORDENACION FISCAL REGULADORA DE LA TASA POR DERECHOS DE EXAMEN DEL AYUNTAMIENTO DE CEHEGIN 3038/2025--CH-E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10/11/2025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MODIFICACION DE ORDENANZA FISCAL REGULADORA DE LA TASA POR LA REALIZACION DE LA ACTIVIDAD ADMINISTRATIVA DE OTORGAMIENTO DE LICENCIAS URBANISTICAS 3043/2025--CH-E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10/11/2025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ESTABLECIMIENTO DE ORDENANZA FISCAL REGULADORA DE LA TASA POR LA UTILIZACION PRIVATIVA O APROVECHAMIENTO ESPECIAL DEL SUELO, SUBSUELO O VUELO A FAVOR DE LAS EMPRESAS EXPLOTADORAS DE SERVICIOS DE SUMINISTROS 3044/2025--CH-E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10/11/2025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ESTABLECIMIENTO DE ORDENANZA FISCAL REGULADORA DE LA TASA POR LA UTILIZACION PRIVATIVA O APROVECHAMIENTO ESPECIAL DEL SUELO, SUBSUELO O VUELO A FAVOR DE LAS EMPRESAS EXPLOTADORAS DE SERVICIOS DE SUMINISTROS 3044/2025--CH-E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10/11/2025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31/12/2025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 LOS CENTROS DE ESTANCIAS DIURNAS DEL AYUNTAMIENTO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25/08/2025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26/09/2025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ESTUDIO DE VIABILIDAD ECONÓMICA-FINANCIERA PARA LA CONCESIÓN DEL SERVICIO DE CENTRO DE DÍA VIRGEN DE LAS MARAVILLAS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24/04/2025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26/05/2025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PROYECTO DE AMPLIACIÓN DEPÓSITO CONTROLADO Y PLANTA DE TRATAMIENTO DE RNP (POLÍGONO 1, PARCELA 44, TÉRMINO MUNICIPAL DE CEHEGÍN, PROMOVIDO POR 3RS GESTIÓN MA SOSTENIBLE, SL)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22/04/2025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23/05/2025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REGLAMENTO REGULADOR DEL USO DE LAS RRSS Y WEBS INFORMTIVAS EN EL EXCMO. AYUNTAMIENTO DE CEHEGÍN (13/06/2024)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DEL SERVICIO DE ESTANCIAS DIURNAS (13/06/2024)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SOMETIMIENTO INFORMACIÓN PUBLICA EXPEDIENTE INFORMACIÓN PÚBLICA CESIÓN GRATUITA SOLAR ANTIGUO COLEGIO PÉREZ VILLANUEVA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 LAS TARIFAS POR PRESTACIÓN DE LOS SERVICIOS DE 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APROBACIÓN DE MODIFICACIONES EN LA APROBACIÓN PROVISIONAL DEL PLAN GENERAL DE ORDENACIÓN URBANA.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PLAN DE OBRAS Y SERVICIOS 2017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Encuesta cerrada para el proceso de Participación Ciudadana del «Plan de Obras y Servicios 2017»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UBICACIÓN MERCADO SEMANAL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ALCALDES-PEDÁNEOS Cartel Proceso de Participación Ciudadana (Canara – La Pilá) Cartel Proceso de Participación Ciudadana (Cañada de Canara) Cartel Proceso de Participación Ciudadana (El Escobar) Cartel Proceso de Participación Ciudadana (Valentín) Cartel Proceso de Participación Ciudadana (El Chaparral – Arroyo Hurtado) Cartel Proceso de Participación Ciudadana (La Carrasquilla) Cartel Proceso de Participación Ciudadana (Campillo de los Jiménez – El Cabezo – Algezares)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600" w:type="pct"/>
            <w:vAlign w:val="center"/>
          </w:tcPr>
          <w:p>
            <w:pPr/>
            <w:r>
              <w:rPr/>
              <w:t xml:space="preserve">—</w:t>
            </w:r>
          </w:p>
        </w:tc>
        <w:tc>
          <w:tcPr>
            <w:tcW w:w="1800" w:type="pct"/>
            <w:vAlign w:val="center"/>
          </w:tcPr>
          <w:p>
            <w:pPr/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2026-08-26T00:55:54+00:00</dcterms:created>
  <dcterms:modified xsi:type="dcterms:W3CDTF">2026-08-26T00:55:54+00:00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