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siguientes acuerdos siguen en vigor durantes los ejercicios 2023 y 2024</w:t>
      </w:r>
    </w:p>
    <w:p>
      <w:pPr/>
      <w:r>
        <w:rPr/>
        <w:t xml:space="preserve"> </w:t>
      </w:r>
    </w:p>
    <w:p>
      <w:pPr/>
    </w:p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Acuerdo</w:t>
            </w:r>
          </w:p>
        </w:tc>
        <w:tc>
          <w:tcPr>
            <w:tcW w:w="2664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ACUERDO MARCO 2017-19 VIGENTE </w:t>
            </w:r>
          </w:p>
        </w:tc>
        <w:tc>
          <w:tcPr>
            <w:tcW w:w="2664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</w:tbl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</w:tcPr>
          <w:p>
            <w:pPr/>
            <w:r>
              <w:rPr/>
              <w:t xml:space="preserve">ANEXO I Y II HORARIOS Y MEJORAS IT</w:t>
            </w:r>
          </w:p>
        </w:tc>
        <w:tc>
          <w:tcPr>
            <w:tcW w:w="2664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</w:tbl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</w:tcPr>
          <w:p>
            <w:pPr/>
            <w:r>
              <w:rPr/>
              <w:t xml:space="preserve">ANEXO III PLAN IGUALDAD</w:t>
            </w:r>
          </w:p>
        </w:tc>
        <w:tc>
          <w:tcPr>
            <w:tcW w:w="2664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</w:tbl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</w:tcPr>
          <w:p>
            <w:pPr/>
            <w:r>
              <w:rPr/>
              <w:t xml:space="preserve">ACUERDO MARCO 2017-19 SIN ANEXOS</w:t>
            </w:r>
          </w:p>
        </w:tc>
        <w:tc>
          <w:tcPr>
            <w:tcW w:w="2664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2026-10-07T02:11:05+00:00</dcterms:created>
  <dcterms:modified xsi:type="dcterms:W3CDTF">2026-10-07T02:11:05+00:00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