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siguientes acuerdos siguen en vigor durantes los ejercicios 2023 y 2024</w:t>
      </w:r>
    </w:p>
    <w:p>
      <w:pPr/>
      <w:r>
        <w:rPr/>
        <w:t xml:space="preserve"> </w:t>
      </w:r>
    </w:p>
    <w:p>
      <w:pPr/>
    </w:p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Acuerdo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ACUERDO MARCO 2017-19 VIGENTE 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ANEXO I Y II HORARIOS Y MEJORAS IT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ANEXO III PLAN IGUALDAD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</w:tcPr>
          <w:p>
            <w:pPr/>
            <w:r>
              <w:rPr/>
              <w:t xml:space="preserve">ACUERDO MARCO 2017-19 SIN ANEXOS</w:t>
            </w:r>
          </w:p>
        </w:tc>
        <w:tc>
          <w:tcPr>
            <w:tcW w:w="266400" w:type="pct"/>
          </w:tcPr>
          <w:tbl>
            <w:tblGrid>
              <w:gridCol w:w="322250" w:type="dxa"/>
            </w:tblGrid>
            <w:tblPr>
              <w:tblW w:w="30700" w:type="pct"/>
              <w:tblLayout w:type="autofit"/>
              <w:bidiVisual w:val="0"/>
            </w:tblPr>
            <w:tcPr>
              <w:shd w:val="clear" w:fill="5ac0e8"/>
            </w:tcPr>
            <w:tr>
              <w:trPr/>
              <w:tc>
                <w:tcPr>
                  <w:tcW w:w="322250" w:type="pct"/>
                  <w:shd w:val="clear" w:fill="5ac0e8"/>
                </w:tcPr>
                <w:p>
                  <w:pPr>
                    <w:jc w:val="center"/>
                  </w:pPr>
                </w:p>
              </w:tc>
            </w:tr>
          </w:tbl>
          <w:p/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2026-04-30T21:29:52+00:00</dcterms:created>
  <dcterms:modified xsi:type="dcterms:W3CDTF">2026-04-30T21:29:52+00:00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