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indemnizaciones percibidas con ocasión, en su caso, por abandono del cargo vienen reguladas en la Ley 3/2015, de 30 de marzo, reguladora del ejercicio del alto cargo de la Administración General del Estado. Sólo determinados altos cargos, definidos en el artículo 1.2 de la mencionada Ley, tienen derecho a esta pensión, entre los cuales no se encuentra cargo alguno de la Administración Local. </w:t>
      </w:r>
    </w:p>
    <w:p>
      <w:pPr/>
      <w:r>
        <w:rPr/>
        <w:t xml:space="preserve">Por tanto no ha existido actividad en los ejercicios 2022, 2023 y 2024.</w:t>
      </w:r>
    </w:p>
    <w:tbl>
      <w:tblGrid>
        <w:gridCol w:w="408250" w:type="dxa"/>
        <w:gridCol w:w="56050" w:type="dxa"/>
        <w:gridCol w:w="40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08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56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8250" w:type="pct"/>
            <w:gridSpan w:val="2"/>
          </w:tcPr>
          <w:p>
            <w:pPr/>
            <w:r>
              <w:rPr/>
              <w:t xml:space="preserve">09-07-2018</w:t>
            </w:r>
          </w:p>
        </w:tc>
        <w:tc>
          <w:tcPr>
            <w:tcW w:w="56050" w:type="pct"/>
          </w:tcPr>
          <w:p>
            <w:pPr/>
            <w:r>
              <w:rPr/>
              <w:t xml:space="preserve">Informe Indemnización por Abandono de Cargo </w:t>
            </w:r>
          </w:p>
        </w:tc>
        <w:tc>
          <w:tcPr>
            <w:tcW w:w="4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2026-08-04T22:50:01+00:00</dcterms:created>
  <dcterms:modified xsi:type="dcterms:W3CDTF">2026-08-04T22:50:01+00:00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