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2018</w:t>
            </w:r>
          </w:p>
        </w:tc>
        <w:tc>
          <w:tcPr/>
          <w:p>
            <w:pPr/>
            <w:r>
              <w:rPr/>
              <w:t xml:space="preserve">Código de Buen Gobierno FEMP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23/06/2018</w:t>
            </w:r>
          </w:p>
        </w:tc>
        <w:tc>
          <w:tcPr/>
          <w:p>
            <w:pPr/>
            <w:r>
              <w:rPr/>
              <w:t xml:space="preserve">Adhesión al Código de Buen Gobierno Local de la Federación Española de Municipios y Provincias 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2026-05-25T20:22:17+00:00</dcterms:created>
  <dcterms:modified xsi:type="dcterms:W3CDTF">2026-05-25T20:22:17+00:00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