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0" w:rsidRDefault="00E47C30" w:rsidP="00E47C30">
      <w:pPr>
        <w:jc w:val="center"/>
        <w:rPr>
          <w:rFonts w:ascii="Arial" w:hAnsi="Arial" w:cs="Arial"/>
          <w:sz w:val="20"/>
          <w:szCs w:val="20"/>
        </w:rPr>
      </w:pPr>
    </w:p>
    <w:p w:rsidR="00F54288" w:rsidRPr="00F54288" w:rsidRDefault="00F34BFA" w:rsidP="00F54288">
      <w:pPr>
        <w:spacing w:line="360" w:lineRule="auto"/>
        <w:jc w:val="center"/>
        <w:rPr>
          <w:rFonts w:ascii="Arial" w:hAnsi="Arial" w:cs="Arial"/>
          <w:b/>
          <w:bCs/>
          <w:color w:val="333399"/>
          <w:sz w:val="22"/>
        </w:rPr>
      </w:pPr>
      <w:r>
        <w:rPr>
          <w:rFonts w:ascii="Arial" w:hAnsi="Arial" w:cs="Arial"/>
          <w:b/>
          <w:bCs/>
          <w:color w:val="333399"/>
          <w:sz w:val="22"/>
        </w:rPr>
        <w:t xml:space="preserve">BORRADOR </w:t>
      </w:r>
      <w:r w:rsidR="00F54288" w:rsidRPr="00F54288">
        <w:rPr>
          <w:rFonts w:ascii="Arial" w:hAnsi="Arial" w:cs="Arial"/>
          <w:b/>
          <w:bCs/>
          <w:color w:val="333399"/>
          <w:sz w:val="22"/>
        </w:rPr>
        <w:t>ORDENANZA FISCAL REGULADORA DE LA TASA POR DERECHOS DE EXAMEN</w:t>
      </w: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pBdr>
          <w:top w:val="single" w:sz="4" w:space="1" w:color="333399"/>
          <w:left w:val="single" w:sz="4" w:space="0" w:color="333399"/>
          <w:bottom w:val="single" w:sz="4" w:space="1" w:color="333399"/>
          <w:right w:val="single" w:sz="4" w:space="0" w:color="333399"/>
        </w:pBdr>
        <w:shd w:val="clear" w:color="auto" w:fill="FFCC99"/>
        <w:spacing w:line="360" w:lineRule="auto"/>
        <w:ind w:firstLine="709"/>
        <w:rPr>
          <w:rFonts w:ascii="Arial" w:hAnsi="Arial" w:cs="Arial"/>
          <w:b/>
          <w:bCs/>
          <w:iCs/>
          <w:color w:val="333399"/>
          <w:sz w:val="20"/>
        </w:rPr>
      </w:pPr>
      <w:bookmarkStart w:id="0" w:name="a1"/>
      <w:bookmarkEnd w:id="0"/>
      <w:r w:rsidRPr="00F54288">
        <w:rPr>
          <w:rFonts w:ascii="Arial" w:hAnsi="Arial" w:cs="Arial"/>
          <w:b/>
          <w:bCs/>
          <w:iCs/>
          <w:color w:val="333399"/>
          <w:sz w:val="20"/>
        </w:rPr>
        <w:t>ARTÍCULO 1. Fundamento y Objeto</w:t>
      </w:r>
    </w:p>
    <w:p w:rsidR="00F54288" w:rsidRPr="00F54288" w:rsidRDefault="00F54288" w:rsidP="00F54288">
      <w:pPr>
        <w:spacing w:line="360" w:lineRule="auto"/>
        <w:ind w:firstLine="709"/>
        <w:jc w:val="both"/>
        <w:rPr>
          <w:rFonts w:ascii="Arial" w:hAnsi="Arial" w:cs="Arial"/>
          <w:b/>
          <w:bCs/>
          <w:iCs/>
          <w:sz w:val="20"/>
        </w:rPr>
      </w:pPr>
    </w:p>
    <w:p w:rsidR="00F54288" w:rsidRPr="00F54288" w:rsidRDefault="00F54288" w:rsidP="00F54288">
      <w:pPr>
        <w:spacing w:line="360" w:lineRule="auto"/>
        <w:ind w:firstLine="709"/>
        <w:jc w:val="both"/>
        <w:rPr>
          <w:rFonts w:ascii="Arial" w:hAnsi="Arial" w:cs="Arial"/>
          <w:sz w:val="20"/>
        </w:rPr>
      </w:pPr>
      <w:r w:rsidRPr="00F54288">
        <w:rPr>
          <w:rFonts w:ascii="Arial" w:hAnsi="Arial" w:cs="Arial"/>
          <w:sz w:val="20"/>
        </w:rPr>
        <w:t>En uso de las facultades contenidas por los artículos 133.2 y 142 de la Constitución, por el artículo 106 de la Ley 7/1985, de 2 de abril, Reguladora de las Bases del Régimen Local, y de conformidad con lo dispuesto en el artículo 20 en relación con los artículos 15 a 19 del Texto Refundido de la Ley Reguladora de las Haciendas Locales, aprobado por el Real Decreto Legislativo 2/2004, de 5 de marzo, este Ayuntamiento establece la tasa por derechos de examen, que estará a lo establecido en la presente Ordenanza Fiscal cuyas normas atienden a lo prevenido en el artículo 57 del citado texto refundido de la Ley Reguladora de las Haciendas Locales.</w:t>
      </w: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1" w:color="333399"/>
        </w:pBdr>
        <w:shd w:val="clear" w:color="auto" w:fill="FFCC99"/>
        <w:spacing w:line="360" w:lineRule="auto"/>
        <w:ind w:firstLine="709"/>
        <w:jc w:val="both"/>
        <w:rPr>
          <w:rFonts w:ascii="Arial" w:hAnsi="Arial" w:cs="Arial"/>
          <w:b/>
          <w:bCs/>
          <w:iCs/>
          <w:color w:val="333399"/>
          <w:sz w:val="20"/>
        </w:rPr>
      </w:pPr>
      <w:bookmarkStart w:id="1" w:name="a2"/>
      <w:bookmarkEnd w:id="1"/>
      <w:r w:rsidRPr="00F54288">
        <w:rPr>
          <w:rFonts w:ascii="Arial" w:hAnsi="Arial" w:cs="Arial"/>
          <w:b/>
          <w:bCs/>
          <w:iCs/>
          <w:color w:val="333399"/>
          <w:sz w:val="20"/>
        </w:rPr>
        <w:t>ARTÍCULO 2. Hecho Imponible</w:t>
      </w:r>
    </w:p>
    <w:p w:rsidR="00F54288" w:rsidRPr="00F54288" w:rsidRDefault="00F54288" w:rsidP="00F54288">
      <w:pPr>
        <w:spacing w:line="360" w:lineRule="auto"/>
        <w:ind w:firstLine="709"/>
        <w:jc w:val="both"/>
        <w:rPr>
          <w:rFonts w:ascii="Arial" w:hAnsi="Arial" w:cs="Arial"/>
          <w:b/>
          <w:bCs/>
          <w:iCs/>
          <w:sz w:val="20"/>
        </w:rPr>
      </w:pPr>
    </w:p>
    <w:p w:rsidR="00F54288" w:rsidRPr="00F54288" w:rsidRDefault="00F54288" w:rsidP="00F54288">
      <w:pPr>
        <w:spacing w:line="360" w:lineRule="auto"/>
        <w:ind w:firstLine="709"/>
        <w:jc w:val="both"/>
        <w:rPr>
          <w:rFonts w:ascii="Arial" w:hAnsi="Arial" w:cs="Arial"/>
          <w:sz w:val="20"/>
        </w:rPr>
      </w:pPr>
      <w:r w:rsidRPr="00F54288">
        <w:rPr>
          <w:rFonts w:ascii="Arial" w:hAnsi="Arial" w:cs="Arial"/>
          <w:sz w:val="20"/>
        </w:rPr>
        <w:t>Constituye el hecho imponible de la tasa, la actividad técnica y administrativa conducente a la selección del personal funcionario y laboral entre quienes soliciten participar como aspirantes en pruebas de acceso o promoción a los Cuerpos o Escalas de funcionarios o a las categorías de personal laboral convocadas por este Ayuntamiento.</w:t>
      </w: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2" w:color="333399"/>
        </w:pBdr>
        <w:shd w:val="clear" w:color="auto" w:fill="FFCC99"/>
        <w:spacing w:line="360" w:lineRule="auto"/>
        <w:ind w:firstLine="709"/>
        <w:jc w:val="both"/>
        <w:rPr>
          <w:rFonts w:ascii="Arial" w:hAnsi="Arial" w:cs="Arial"/>
          <w:b/>
          <w:bCs/>
          <w:iCs/>
          <w:color w:val="333399"/>
          <w:sz w:val="20"/>
        </w:rPr>
      </w:pPr>
      <w:bookmarkStart w:id="2" w:name="a3"/>
      <w:bookmarkEnd w:id="2"/>
      <w:r w:rsidRPr="00F54288">
        <w:rPr>
          <w:rFonts w:ascii="Arial" w:hAnsi="Arial" w:cs="Arial"/>
          <w:b/>
          <w:bCs/>
          <w:iCs/>
          <w:color w:val="333399"/>
          <w:sz w:val="20"/>
        </w:rPr>
        <w:t>ARTÍCULO 3. Sujeto Pasivo</w:t>
      </w:r>
    </w:p>
    <w:p w:rsidR="00F54288" w:rsidRPr="00F54288" w:rsidRDefault="00F54288" w:rsidP="00F54288">
      <w:pPr>
        <w:spacing w:line="360" w:lineRule="auto"/>
        <w:ind w:firstLine="709"/>
        <w:jc w:val="both"/>
        <w:rPr>
          <w:rFonts w:ascii="Arial" w:hAnsi="Arial" w:cs="Arial"/>
          <w:bCs/>
          <w:iCs/>
          <w:sz w:val="20"/>
        </w:rPr>
      </w:pPr>
    </w:p>
    <w:p w:rsidR="00F54288" w:rsidRPr="00F54288" w:rsidRDefault="00F54288" w:rsidP="00F54288">
      <w:pPr>
        <w:spacing w:line="360" w:lineRule="auto"/>
        <w:ind w:firstLine="709"/>
        <w:jc w:val="both"/>
        <w:rPr>
          <w:rFonts w:ascii="Arial" w:hAnsi="Arial" w:cs="Arial"/>
          <w:iCs/>
          <w:sz w:val="20"/>
        </w:rPr>
      </w:pPr>
      <w:r w:rsidRPr="00F54288">
        <w:rPr>
          <w:rFonts w:ascii="Arial" w:hAnsi="Arial" w:cs="Arial"/>
          <w:iCs/>
          <w:sz w:val="20"/>
        </w:rPr>
        <w:t>Serán sujetos pasivos de esta tasa, todas las personas físicas que soliciten la inscripción como aspirantes en las pruebas selectivas o de aptitud a las que se refiere el artículo anterior.</w:t>
      </w:r>
      <w:bookmarkStart w:id="3" w:name="_Hlt37223772"/>
      <w:bookmarkEnd w:id="3"/>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0" w:color="333399"/>
        </w:pBdr>
        <w:shd w:val="clear" w:color="auto" w:fill="FFCC99"/>
        <w:spacing w:line="360" w:lineRule="auto"/>
        <w:ind w:firstLine="709"/>
        <w:rPr>
          <w:rFonts w:ascii="Arial" w:hAnsi="Arial" w:cs="Arial"/>
          <w:b/>
          <w:bCs/>
          <w:iCs/>
          <w:color w:val="333399"/>
          <w:sz w:val="20"/>
        </w:rPr>
      </w:pPr>
      <w:bookmarkStart w:id="4" w:name="a4"/>
      <w:bookmarkEnd w:id="4"/>
      <w:r w:rsidRPr="00F54288">
        <w:rPr>
          <w:rFonts w:ascii="Arial" w:hAnsi="Arial" w:cs="Arial"/>
          <w:b/>
          <w:bCs/>
          <w:iCs/>
          <w:color w:val="333399"/>
          <w:sz w:val="20"/>
        </w:rPr>
        <w:t>ARTÍCULO 4. Responsables</w:t>
      </w:r>
    </w:p>
    <w:p w:rsidR="00F54288" w:rsidRPr="00F54288" w:rsidRDefault="00F54288" w:rsidP="00F54288">
      <w:pPr>
        <w:spacing w:line="360" w:lineRule="auto"/>
        <w:ind w:firstLine="696"/>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Responderán de la deuda tributaria los deudores principales junto a otras personas o entidades. A estos efectos se considerarán deudores principales los obligados tributarios del artículo 35.2 de la Ley 58/2003, de 17 de diciembre, General Tributaria.</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Salvo precepto legal expreso en contrario, la responsabilidad será siempre subsidiaria.</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Responderán solidariamente de las obligaciones tributarias del sujeto pasivo las personas físicas y jurídicas a que se refieren los artículos 42 de la Ley 58/2003, de 17 de diciembre, General Tributaria.</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En relación a la responsabilidad solidaria y subsidiaria de la deuda tributaria se estará a lo establecido, respectivamente, en los artículos 42 y 43 de la Ley 58/2003, de 17 de diciembre, General Tributaria.</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2" w:color="333399"/>
        </w:pBdr>
        <w:shd w:val="clear" w:color="auto" w:fill="FFCC99"/>
        <w:spacing w:line="360" w:lineRule="auto"/>
        <w:ind w:firstLine="709"/>
        <w:jc w:val="both"/>
        <w:rPr>
          <w:rFonts w:ascii="Arial" w:hAnsi="Arial" w:cs="Arial"/>
          <w:b/>
          <w:bCs/>
          <w:iCs/>
          <w:color w:val="333399"/>
          <w:sz w:val="20"/>
        </w:rPr>
      </w:pPr>
      <w:bookmarkStart w:id="5" w:name="a5"/>
      <w:bookmarkEnd w:id="5"/>
      <w:r w:rsidRPr="00F54288">
        <w:rPr>
          <w:rFonts w:ascii="Arial" w:hAnsi="Arial" w:cs="Arial"/>
          <w:b/>
          <w:bCs/>
          <w:iCs/>
          <w:color w:val="333399"/>
          <w:sz w:val="20"/>
        </w:rPr>
        <w:t>ARTÍCULO 5. Cuota tributaria</w:t>
      </w:r>
      <w:bookmarkStart w:id="6" w:name="_Hlt37159825"/>
      <w:bookmarkStart w:id="7" w:name="_Hlt37159861"/>
      <w:bookmarkEnd w:id="6"/>
      <w:bookmarkEnd w:id="7"/>
    </w:p>
    <w:p w:rsidR="00F54288" w:rsidRPr="00F54288" w:rsidRDefault="00F54288" w:rsidP="00F54288">
      <w:pPr>
        <w:tabs>
          <w:tab w:val="left" w:pos="3660"/>
        </w:tabs>
        <w:spacing w:line="360" w:lineRule="auto"/>
        <w:jc w:val="both"/>
        <w:rPr>
          <w:rFonts w:ascii="Arial" w:hAnsi="Arial" w:cs="Arial"/>
          <w:i/>
          <w:sz w:val="18"/>
          <w:szCs w:val="18"/>
        </w:rPr>
      </w:pPr>
      <w:bookmarkStart w:id="8" w:name="_Hlt37159938"/>
      <w:bookmarkStart w:id="9" w:name="_Hlt37160005"/>
      <w:bookmarkStart w:id="10" w:name="_Hlt37223778"/>
      <w:bookmarkStart w:id="11" w:name="_Hlt37223796"/>
      <w:bookmarkStart w:id="12" w:name="_Hlt37226221"/>
      <w:bookmarkEnd w:id="8"/>
      <w:bookmarkEnd w:id="9"/>
      <w:bookmarkEnd w:id="10"/>
      <w:bookmarkEnd w:id="11"/>
      <w:bookmarkEnd w:id="12"/>
    </w:p>
    <w:p w:rsidR="00F54288" w:rsidRPr="00F54288" w:rsidRDefault="00F54288" w:rsidP="00F54288">
      <w:pPr>
        <w:tabs>
          <w:tab w:val="left" w:pos="3660"/>
        </w:tabs>
        <w:spacing w:line="360" w:lineRule="auto"/>
        <w:ind w:firstLine="708"/>
        <w:jc w:val="both"/>
        <w:rPr>
          <w:rFonts w:ascii="Arial" w:hAnsi="Arial" w:cs="Arial"/>
          <w:i/>
          <w:sz w:val="18"/>
          <w:szCs w:val="18"/>
        </w:rPr>
      </w:pPr>
    </w:p>
    <w:p w:rsidR="00F54288" w:rsidRPr="00F54288" w:rsidRDefault="00F54288" w:rsidP="00F54288">
      <w:pPr>
        <w:spacing w:line="360" w:lineRule="auto"/>
        <w:ind w:firstLine="708"/>
        <w:jc w:val="both"/>
        <w:rPr>
          <w:rFonts w:ascii="Arial" w:hAnsi="Arial" w:cs="Arial"/>
          <w:i/>
          <w:sz w:val="20"/>
          <w:szCs w:val="20"/>
        </w:rPr>
      </w:pPr>
      <w:r w:rsidRPr="00F54288">
        <w:rPr>
          <w:rFonts w:ascii="Arial" w:hAnsi="Arial" w:cs="Arial"/>
          <w:i/>
          <w:sz w:val="20"/>
          <w:szCs w:val="20"/>
        </w:rPr>
        <w:t>La cuota tributaria resultará de aplicar las siguientes tarifas:</w:t>
      </w:r>
    </w:p>
    <w:p w:rsidR="00F54288" w:rsidRPr="00F54288" w:rsidRDefault="00F54288" w:rsidP="00F54288">
      <w:pPr>
        <w:spacing w:line="360" w:lineRule="auto"/>
        <w:jc w:val="both"/>
        <w:rPr>
          <w:rFonts w:ascii="Arial" w:hAnsi="Arial" w:cs="Arial"/>
          <w: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3"/>
        <w:gridCol w:w="2949"/>
        <w:gridCol w:w="2527"/>
      </w:tblGrid>
      <w:tr w:rsidR="00F54288" w:rsidRPr="00F54288" w:rsidTr="00093151">
        <w:tc>
          <w:tcPr>
            <w:tcW w:w="3103" w:type="dxa"/>
            <w:shd w:val="clear" w:color="auto" w:fill="auto"/>
          </w:tcPr>
          <w:p w:rsidR="00F54288" w:rsidRPr="00F54288" w:rsidRDefault="00F54288" w:rsidP="00F54288">
            <w:pPr>
              <w:spacing w:line="360" w:lineRule="auto"/>
              <w:rPr>
                <w:rFonts w:ascii="Arial" w:hAnsi="Arial" w:cs="Arial"/>
                <w:b/>
                <w:i/>
                <w:iCs/>
                <w:sz w:val="18"/>
                <w:szCs w:val="18"/>
              </w:rPr>
            </w:pPr>
          </w:p>
        </w:tc>
        <w:tc>
          <w:tcPr>
            <w:tcW w:w="3025" w:type="dxa"/>
            <w:shd w:val="clear" w:color="auto" w:fill="auto"/>
          </w:tcPr>
          <w:p w:rsidR="00F54288" w:rsidRPr="00F54288" w:rsidRDefault="00F54288" w:rsidP="00F54288">
            <w:pPr>
              <w:spacing w:line="360" w:lineRule="auto"/>
              <w:jc w:val="center"/>
              <w:rPr>
                <w:rFonts w:ascii="Arial" w:hAnsi="Arial" w:cs="Arial"/>
                <w:b/>
                <w:i/>
                <w:sz w:val="18"/>
                <w:szCs w:val="18"/>
              </w:rPr>
            </w:pPr>
            <w:r w:rsidRPr="00F54288">
              <w:rPr>
                <w:rFonts w:ascii="Arial" w:hAnsi="Arial" w:cs="Arial"/>
                <w:b/>
                <w:i/>
                <w:sz w:val="18"/>
                <w:szCs w:val="18"/>
              </w:rPr>
              <w:t>GENERAL</w:t>
            </w:r>
          </w:p>
        </w:tc>
        <w:tc>
          <w:tcPr>
            <w:tcW w:w="2593" w:type="dxa"/>
            <w:shd w:val="clear" w:color="auto" w:fill="auto"/>
          </w:tcPr>
          <w:p w:rsidR="00F54288" w:rsidRPr="00F54288" w:rsidRDefault="00F54288" w:rsidP="00F54288">
            <w:pPr>
              <w:spacing w:line="360" w:lineRule="auto"/>
              <w:jc w:val="center"/>
              <w:rPr>
                <w:rFonts w:ascii="Arial" w:hAnsi="Arial" w:cs="Arial"/>
                <w:b/>
                <w:i/>
                <w:sz w:val="18"/>
                <w:szCs w:val="18"/>
              </w:rPr>
            </w:pPr>
            <w:r w:rsidRPr="00F54288">
              <w:rPr>
                <w:rFonts w:ascii="Arial" w:hAnsi="Arial" w:cs="Arial"/>
                <w:b/>
                <w:i/>
                <w:sz w:val="18"/>
                <w:szCs w:val="18"/>
              </w:rPr>
              <w:t>POLICÍA LCOAL</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Grupo A1</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30 euros</w:t>
            </w:r>
          </w:p>
        </w:tc>
        <w:tc>
          <w:tcPr>
            <w:tcW w:w="2593"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55 euros</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Grupo A2</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30 euros</w:t>
            </w:r>
          </w:p>
        </w:tc>
        <w:tc>
          <w:tcPr>
            <w:tcW w:w="2593"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55 euros</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Grupo B</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30 euros</w:t>
            </w:r>
          </w:p>
        </w:tc>
        <w:tc>
          <w:tcPr>
            <w:tcW w:w="2593"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55 euros</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Grupo C1</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24 euros</w:t>
            </w:r>
          </w:p>
        </w:tc>
        <w:tc>
          <w:tcPr>
            <w:tcW w:w="2593"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44 euros</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Grupo C2</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24 euros</w:t>
            </w:r>
          </w:p>
        </w:tc>
        <w:tc>
          <w:tcPr>
            <w:tcW w:w="2593"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44 euros</w:t>
            </w:r>
          </w:p>
        </w:tc>
      </w:tr>
      <w:tr w:rsidR="00F54288" w:rsidRPr="00F54288" w:rsidTr="00093151">
        <w:tc>
          <w:tcPr>
            <w:tcW w:w="3103" w:type="dxa"/>
            <w:shd w:val="clear" w:color="auto" w:fill="auto"/>
          </w:tcPr>
          <w:p w:rsidR="00F54288" w:rsidRPr="00F54288" w:rsidRDefault="00F54288" w:rsidP="00F54288">
            <w:pPr>
              <w:spacing w:line="360" w:lineRule="auto"/>
              <w:jc w:val="both"/>
              <w:rPr>
                <w:rFonts w:ascii="Arial" w:hAnsi="Arial" w:cs="Arial"/>
                <w:i/>
                <w:sz w:val="18"/>
                <w:szCs w:val="18"/>
              </w:rPr>
            </w:pPr>
            <w:r w:rsidRPr="00F54288">
              <w:rPr>
                <w:rFonts w:ascii="Arial" w:hAnsi="Arial" w:cs="Arial"/>
                <w:i/>
                <w:iCs/>
                <w:sz w:val="18"/>
                <w:szCs w:val="18"/>
              </w:rPr>
              <w:t>Agrupaciones Profesionales</w:t>
            </w:r>
          </w:p>
        </w:tc>
        <w:tc>
          <w:tcPr>
            <w:tcW w:w="3025" w:type="dxa"/>
            <w:shd w:val="clear" w:color="auto" w:fill="auto"/>
          </w:tcPr>
          <w:p w:rsidR="00F54288" w:rsidRPr="00F54288" w:rsidRDefault="00F54288" w:rsidP="00F54288">
            <w:pPr>
              <w:spacing w:line="360" w:lineRule="auto"/>
              <w:jc w:val="right"/>
              <w:rPr>
                <w:rFonts w:ascii="Arial" w:hAnsi="Arial" w:cs="Arial"/>
                <w:i/>
                <w:sz w:val="18"/>
                <w:szCs w:val="18"/>
              </w:rPr>
            </w:pPr>
            <w:r w:rsidRPr="00F54288">
              <w:rPr>
                <w:rFonts w:ascii="Arial" w:hAnsi="Arial" w:cs="Arial"/>
                <w:i/>
                <w:sz w:val="18"/>
                <w:szCs w:val="18"/>
              </w:rPr>
              <w:t>20 euros</w:t>
            </w:r>
          </w:p>
        </w:tc>
        <w:tc>
          <w:tcPr>
            <w:tcW w:w="2593" w:type="dxa"/>
            <w:shd w:val="clear" w:color="auto" w:fill="auto"/>
          </w:tcPr>
          <w:p w:rsidR="00F54288" w:rsidRPr="00F54288" w:rsidRDefault="00F54288" w:rsidP="00F54288">
            <w:pPr>
              <w:spacing w:line="360" w:lineRule="auto"/>
              <w:jc w:val="center"/>
              <w:rPr>
                <w:rFonts w:ascii="Arial" w:hAnsi="Arial" w:cs="Arial"/>
                <w:i/>
                <w:sz w:val="18"/>
                <w:szCs w:val="18"/>
              </w:rPr>
            </w:pPr>
            <w:r w:rsidRPr="00F54288">
              <w:rPr>
                <w:rFonts w:ascii="Arial" w:hAnsi="Arial" w:cs="Arial"/>
                <w:i/>
                <w:sz w:val="18"/>
                <w:szCs w:val="18"/>
              </w:rPr>
              <w:t>***</w:t>
            </w:r>
          </w:p>
        </w:tc>
      </w:tr>
    </w:tbl>
    <w:p w:rsidR="00F54288" w:rsidRPr="00F54288" w:rsidRDefault="00F54288" w:rsidP="00F54288">
      <w:pPr>
        <w:spacing w:line="360" w:lineRule="auto"/>
        <w:jc w:val="both"/>
        <w:rPr>
          <w:rFonts w:ascii="Arial" w:hAnsi="Arial" w:cs="Arial"/>
          <w:i/>
          <w:sz w:val="18"/>
          <w:szCs w:val="18"/>
        </w:rPr>
      </w:pP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0" w:color="333399"/>
        </w:pBdr>
        <w:shd w:val="clear" w:color="auto" w:fill="FFCC99"/>
        <w:spacing w:line="360" w:lineRule="auto"/>
        <w:ind w:firstLine="709"/>
        <w:jc w:val="both"/>
        <w:rPr>
          <w:rFonts w:ascii="Arial" w:hAnsi="Arial" w:cs="Arial"/>
          <w:b/>
          <w:bCs/>
          <w:iCs/>
          <w:color w:val="333399"/>
          <w:sz w:val="20"/>
        </w:rPr>
      </w:pPr>
      <w:bookmarkStart w:id="13" w:name="a6"/>
      <w:bookmarkEnd w:id="13"/>
      <w:r w:rsidRPr="00F54288">
        <w:rPr>
          <w:rFonts w:ascii="Arial" w:hAnsi="Arial" w:cs="Arial"/>
          <w:b/>
          <w:bCs/>
          <w:iCs/>
          <w:color w:val="333399"/>
          <w:sz w:val="20"/>
        </w:rPr>
        <w:t>ARTÍCULO 6. Exenciones y Bonificaciones</w:t>
      </w:r>
    </w:p>
    <w:p w:rsidR="00F54288" w:rsidRPr="00F54288" w:rsidRDefault="00F54288" w:rsidP="00F54288">
      <w:pPr>
        <w:spacing w:line="360" w:lineRule="auto"/>
        <w:ind w:firstLine="708"/>
        <w:jc w:val="both"/>
        <w:rPr>
          <w:rFonts w:ascii="Arial" w:hAnsi="Arial" w:cs="Arial"/>
          <w:sz w:val="20"/>
        </w:rPr>
      </w:pPr>
      <w:bookmarkStart w:id="14" w:name="_Hlt37160000"/>
      <w:bookmarkEnd w:id="14"/>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Estará bonificada la cuota de la tasa:</w:t>
      </w:r>
    </w:p>
    <w:p w:rsidR="00F54288" w:rsidRPr="00F54288" w:rsidRDefault="00F54288" w:rsidP="00F54288">
      <w:pPr>
        <w:spacing w:line="360" w:lineRule="auto"/>
        <w:ind w:firstLine="708"/>
        <w:jc w:val="both"/>
        <w:rPr>
          <w:rFonts w:ascii="Arial" w:hAnsi="Arial" w:cs="Arial"/>
          <w:i/>
          <w:iCs/>
          <w:sz w:val="18"/>
        </w:rPr>
      </w:pPr>
    </w:p>
    <w:p w:rsidR="00F54288" w:rsidRPr="001153CA" w:rsidRDefault="00F54288" w:rsidP="00F54288">
      <w:pPr>
        <w:spacing w:line="360" w:lineRule="auto"/>
        <w:ind w:firstLine="708"/>
        <w:jc w:val="both"/>
        <w:rPr>
          <w:rFonts w:ascii="Arial" w:hAnsi="Arial" w:cs="Arial"/>
          <w:i/>
          <w:sz w:val="20"/>
          <w:szCs w:val="20"/>
        </w:rPr>
      </w:pPr>
      <w:r w:rsidRPr="00F54288">
        <w:rPr>
          <w:rFonts w:ascii="Arial" w:hAnsi="Arial" w:cs="Arial"/>
          <w:i/>
          <w:iCs/>
          <w:sz w:val="18"/>
        </w:rPr>
        <w:t>—</w:t>
      </w:r>
      <w:r w:rsidRPr="00F54288">
        <w:rPr>
          <w:rFonts w:ascii="Arial" w:hAnsi="Arial" w:cs="Arial"/>
          <w:sz w:val="20"/>
        </w:rPr>
        <w:t xml:space="preserve"> </w:t>
      </w:r>
      <w:r w:rsidRPr="001153CA">
        <w:rPr>
          <w:rFonts w:ascii="Arial" w:hAnsi="Arial" w:cs="Arial"/>
          <w:i/>
          <w:sz w:val="20"/>
          <w:szCs w:val="20"/>
        </w:rPr>
        <w:t>Tendrán una reducción del</w:t>
      </w:r>
      <w:r w:rsidR="006C18CA" w:rsidRPr="001153CA">
        <w:rPr>
          <w:rFonts w:ascii="Arial" w:hAnsi="Arial" w:cs="Arial"/>
          <w:i/>
          <w:sz w:val="20"/>
          <w:szCs w:val="20"/>
        </w:rPr>
        <w:t xml:space="preserve"> 50</w:t>
      </w:r>
      <w:r w:rsidRPr="001153CA">
        <w:rPr>
          <w:rFonts w:ascii="Arial" w:hAnsi="Arial" w:cs="Arial"/>
          <w:i/>
          <w:sz w:val="20"/>
          <w:szCs w:val="20"/>
        </w:rPr>
        <w:t xml:space="preserve"> % de la tasa, las personas con discapacidad igual o superior al 33 por ciento, que se acreditará mediante original o copia compulsada del certificado de discapacidad emitido por la Dirección General de Servicios Sociales, y que se deberá encontrar actualizado a la fecha de la finalización del plazo de p</w:t>
      </w:r>
      <w:r w:rsidR="006C18CA" w:rsidRPr="001153CA">
        <w:rPr>
          <w:rFonts w:ascii="Arial" w:hAnsi="Arial" w:cs="Arial"/>
          <w:i/>
          <w:sz w:val="20"/>
          <w:szCs w:val="20"/>
        </w:rPr>
        <w:t>resentación de las solicitudes.</w:t>
      </w:r>
    </w:p>
    <w:p w:rsidR="00F54288" w:rsidRPr="001153CA" w:rsidRDefault="00F54288" w:rsidP="00F54288">
      <w:pPr>
        <w:spacing w:line="360" w:lineRule="auto"/>
        <w:ind w:firstLine="708"/>
        <w:jc w:val="both"/>
        <w:rPr>
          <w:rFonts w:ascii="Arial" w:hAnsi="Arial" w:cs="Arial"/>
          <w:i/>
          <w:sz w:val="20"/>
          <w:szCs w:val="20"/>
        </w:rPr>
      </w:pPr>
    </w:p>
    <w:p w:rsidR="00F54288" w:rsidRPr="001153CA" w:rsidRDefault="00F54288" w:rsidP="00F54288">
      <w:pPr>
        <w:spacing w:line="360" w:lineRule="auto"/>
        <w:ind w:firstLine="708"/>
        <w:jc w:val="both"/>
        <w:rPr>
          <w:rFonts w:ascii="Arial" w:hAnsi="Arial" w:cs="Arial"/>
          <w:i/>
          <w:sz w:val="20"/>
          <w:szCs w:val="20"/>
        </w:rPr>
      </w:pPr>
      <w:r w:rsidRPr="001153CA">
        <w:rPr>
          <w:rFonts w:ascii="Arial" w:hAnsi="Arial" w:cs="Arial"/>
          <w:i/>
          <w:iCs/>
          <w:sz w:val="20"/>
          <w:szCs w:val="20"/>
        </w:rPr>
        <w:t>—</w:t>
      </w:r>
      <w:r w:rsidRPr="001153CA">
        <w:rPr>
          <w:rFonts w:ascii="Arial" w:hAnsi="Arial" w:cs="Arial"/>
          <w:sz w:val="20"/>
          <w:szCs w:val="20"/>
        </w:rPr>
        <w:t xml:space="preserve"> </w:t>
      </w:r>
      <w:r w:rsidRPr="001153CA">
        <w:rPr>
          <w:rFonts w:ascii="Arial" w:hAnsi="Arial" w:cs="Arial"/>
          <w:i/>
          <w:sz w:val="20"/>
          <w:szCs w:val="20"/>
        </w:rPr>
        <w:t xml:space="preserve">Tendrán una reducción del </w:t>
      </w:r>
      <w:r w:rsidR="006C18CA" w:rsidRPr="001153CA">
        <w:rPr>
          <w:rFonts w:ascii="Arial" w:hAnsi="Arial" w:cs="Arial"/>
          <w:i/>
          <w:sz w:val="20"/>
          <w:szCs w:val="20"/>
        </w:rPr>
        <w:t>50</w:t>
      </w:r>
      <w:r w:rsidRPr="001153CA">
        <w:rPr>
          <w:rFonts w:ascii="Arial" w:hAnsi="Arial" w:cs="Arial"/>
          <w:i/>
          <w:sz w:val="20"/>
          <w:szCs w:val="20"/>
        </w:rPr>
        <w:t xml:space="preserve"> % de la tasa, las personas que figuren como demandantes de empleo d</w:t>
      </w:r>
      <w:r w:rsidR="006C18CA" w:rsidRPr="001153CA">
        <w:rPr>
          <w:rFonts w:ascii="Arial" w:hAnsi="Arial" w:cs="Arial"/>
          <w:i/>
          <w:sz w:val="20"/>
          <w:szCs w:val="20"/>
        </w:rPr>
        <w:t>urante el plazo, de al menos 12</w:t>
      </w:r>
      <w:r w:rsidRPr="001153CA">
        <w:rPr>
          <w:rFonts w:ascii="Arial" w:hAnsi="Arial" w:cs="Arial"/>
          <w:i/>
          <w:sz w:val="20"/>
          <w:szCs w:val="20"/>
        </w:rPr>
        <w:t xml:space="preserve"> meses a la fecha de convocatoria. Para el disfrute de esta bonificación, será requisito que en el plazo de que se trate, no hubieran rechazado oferta de empleo adecuado ni se hubiesen negado a participar, salvo causa </w:t>
      </w:r>
      <w:r w:rsidRPr="001153CA">
        <w:rPr>
          <w:rFonts w:ascii="Arial" w:hAnsi="Arial" w:cs="Arial"/>
          <w:i/>
          <w:sz w:val="20"/>
          <w:szCs w:val="20"/>
        </w:rPr>
        <w:lastRenderedPageBreak/>
        <w:t>justificada, en acciones de promoción, formación y que, asimismo carezcan del derecho de prestación de prestación por desempleo y/o rentas superiores, en cómputo mensual al salario mínimo interprofesional. Estas condiciones se acreditarán por medio de certificaciones emitidos por la administración competente</w:t>
      </w:r>
      <w:r w:rsidR="008F48FC" w:rsidRPr="001153CA">
        <w:rPr>
          <w:rFonts w:ascii="Arial" w:hAnsi="Arial" w:cs="Arial"/>
          <w:i/>
          <w:sz w:val="20"/>
          <w:szCs w:val="20"/>
        </w:rPr>
        <w:t xml:space="preserve"> en el momento de la solicitud.</w:t>
      </w:r>
    </w:p>
    <w:p w:rsidR="008F48FC" w:rsidRPr="001153CA" w:rsidRDefault="008F48FC" w:rsidP="00F54288">
      <w:pPr>
        <w:spacing w:line="360" w:lineRule="auto"/>
        <w:ind w:firstLine="708"/>
        <w:jc w:val="both"/>
        <w:rPr>
          <w:rFonts w:ascii="Arial" w:hAnsi="Arial" w:cs="Arial"/>
          <w:i/>
          <w:sz w:val="20"/>
          <w:szCs w:val="20"/>
        </w:rPr>
      </w:pPr>
      <w:r w:rsidRPr="001153CA">
        <w:rPr>
          <w:rFonts w:ascii="Arial" w:hAnsi="Arial" w:cs="Arial"/>
          <w:i/>
          <w:sz w:val="20"/>
          <w:szCs w:val="20"/>
        </w:rPr>
        <w:softHyphen/>
        <w:t>_ Tendrán una reducción del 45 % de la tasa</w:t>
      </w:r>
      <w:r w:rsidR="001153CA" w:rsidRPr="001153CA">
        <w:rPr>
          <w:rFonts w:ascii="Arial" w:hAnsi="Arial" w:cs="Arial"/>
          <w:i/>
          <w:sz w:val="20"/>
          <w:szCs w:val="20"/>
        </w:rPr>
        <w:t xml:space="preserve"> los</w:t>
      </w:r>
      <w:r w:rsidR="00D123FF">
        <w:rPr>
          <w:rFonts w:ascii="Arial" w:hAnsi="Arial" w:cs="Arial"/>
          <w:i/>
          <w:sz w:val="20"/>
          <w:szCs w:val="20"/>
        </w:rPr>
        <w:t xml:space="preserve"> miembros de familias numerosas debidamente acreditado.</w:t>
      </w:r>
    </w:p>
    <w:p w:rsidR="001153CA" w:rsidRDefault="001153CA" w:rsidP="00F54288">
      <w:pPr>
        <w:spacing w:line="360" w:lineRule="auto"/>
        <w:ind w:firstLine="708"/>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Los expresados beneficios fiscales no tendrán carácter acumulativo, por lo cual, en supuestos de concurrencia de diversas causas que sean el origen del derecho a demandar los beneficios citados, el interesado deberá optar sólo por uno de ellos. En el supuesto de que el interesado no ejercitara la opción anterior, se procederá de oficio, a considerar por orden de preferencia decreciente en el que se encuentre debidamente justificado o resulte más favorable al interesado.</w:t>
      </w:r>
      <w:bookmarkStart w:id="15" w:name="_GoBack"/>
      <w:bookmarkEnd w:id="15"/>
    </w:p>
    <w:p w:rsidR="00F54288" w:rsidRPr="00F54288" w:rsidRDefault="00F54288" w:rsidP="00F54288">
      <w:pPr>
        <w:spacing w:line="360" w:lineRule="auto"/>
        <w:ind w:firstLine="708"/>
        <w:jc w:val="both"/>
        <w:rPr>
          <w:rFonts w:ascii="Arial" w:hAnsi="Arial" w:cs="Arial"/>
          <w:sz w:val="20"/>
        </w:rPr>
      </w:pPr>
    </w:p>
    <w:p w:rsidR="00F54288" w:rsidRPr="005767AA" w:rsidRDefault="00F54288" w:rsidP="00F54288">
      <w:pPr>
        <w:spacing w:line="360" w:lineRule="auto"/>
        <w:ind w:firstLine="696"/>
        <w:jc w:val="both"/>
        <w:rPr>
          <w:rFonts w:ascii="Arial" w:hAnsi="Arial" w:cs="Arial"/>
          <w:sz w:val="20"/>
          <w:szCs w:val="20"/>
        </w:rPr>
      </w:pPr>
      <w:r w:rsidRPr="005767AA">
        <w:rPr>
          <w:rFonts w:ascii="Arial" w:hAnsi="Arial" w:cs="Arial"/>
          <w:i/>
          <w:iCs/>
          <w:sz w:val="20"/>
          <w:szCs w:val="20"/>
        </w:rPr>
        <w:t>De conformidad con el artículo 9 del Texto Refundido de la Ley Reguladora de las Haciendas Locales, en relación con el artículo 18 de la Ley 8/1989, de 13 de abril, de Tasas y Precios Públicos, no se admitirá beneficio tributario alguno, salvo a favor del Estado y los demás Entes Públicos territoriales o institucionales o como consecuencia de lo establecido en los Tratados o Acuerdos Internacionales, excepto la posibilidad de tenerse en cuenta criterios genéricos de capacidad económica de los sujetos obligados a satisfacerlas –art. 24.4 TRLRHL-.</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1" w:color="333399"/>
          <w:bottom w:val="single" w:sz="4" w:space="1" w:color="333399"/>
          <w:right w:val="single" w:sz="4" w:space="1" w:color="333399"/>
        </w:pBdr>
        <w:shd w:val="clear" w:color="auto" w:fill="FFCC99"/>
        <w:spacing w:line="360" w:lineRule="auto"/>
        <w:ind w:firstLine="709"/>
        <w:jc w:val="both"/>
        <w:rPr>
          <w:rFonts w:ascii="Arial" w:hAnsi="Arial" w:cs="Arial"/>
          <w:b/>
          <w:bCs/>
          <w:iCs/>
          <w:color w:val="333399"/>
          <w:sz w:val="20"/>
        </w:rPr>
      </w:pPr>
      <w:bookmarkStart w:id="16" w:name="a7"/>
      <w:bookmarkEnd w:id="16"/>
      <w:r w:rsidRPr="00F54288">
        <w:rPr>
          <w:rFonts w:ascii="Arial" w:hAnsi="Arial" w:cs="Arial"/>
          <w:b/>
          <w:bCs/>
          <w:iCs/>
          <w:color w:val="333399"/>
          <w:sz w:val="20"/>
        </w:rPr>
        <w:t>ARTÍCULO 7. Devengo</w:t>
      </w:r>
      <w:bookmarkStart w:id="17" w:name="_Hlt37159943"/>
      <w:bookmarkEnd w:id="17"/>
    </w:p>
    <w:p w:rsidR="00F54288" w:rsidRPr="00F54288" w:rsidRDefault="00F54288" w:rsidP="00F54288">
      <w:pPr>
        <w:tabs>
          <w:tab w:val="left" w:pos="3960"/>
        </w:tabs>
        <w:spacing w:line="360" w:lineRule="auto"/>
        <w:jc w:val="both"/>
        <w:rPr>
          <w:rFonts w:ascii="Arial" w:hAnsi="Arial" w:cs="Arial"/>
          <w:sz w:val="20"/>
        </w:rPr>
      </w:pPr>
      <w:bookmarkStart w:id="18" w:name="_Hlt37226226"/>
      <w:bookmarkEnd w:id="18"/>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El devengo de la tasa se producirá en el momento de la solicitud de inscripción en las pruebas selectivas o de actitud a que se refiere el artículo 2, siendo preciso el pago de la tasa para poder participar en las mismas.</w:t>
      </w: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La tasa se abonará durante el periodo de tiempo en que permanezca abierto el plazo para la presentación de solicitudes de participación, que será el determinado en cada una de las bases que rijan las convocatorias para la provisión, en sus distintos regímenes, las plazas que se oferten.</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0" w:color="333399"/>
        </w:pBdr>
        <w:shd w:val="clear" w:color="auto" w:fill="FFCC99"/>
        <w:spacing w:line="360" w:lineRule="auto"/>
        <w:ind w:firstLine="709"/>
        <w:jc w:val="both"/>
        <w:rPr>
          <w:rFonts w:ascii="Arial" w:hAnsi="Arial" w:cs="Arial"/>
          <w:b/>
          <w:bCs/>
          <w:iCs/>
          <w:color w:val="333399"/>
          <w:sz w:val="20"/>
        </w:rPr>
      </w:pPr>
      <w:bookmarkStart w:id="19" w:name="a8"/>
      <w:bookmarkEnd w:id="19"/>
      <w:r w:rsidRPr="00F54288">
        <w:rPr>
          <w:rFonts w:ascii="Arial" w:hAnsi="Arial" w:cs="Arial"/>
          <w:b/>
          <w:bCs/>
          <w:iCs/>
          <w:color w:val="333399"/>
          <w:sz w:val="20"/>
        </w:rPr>
        <w:t>ARTÍCULO 8. Normas de Gestión</w:t>
      </w:r>
    </w:p>
    <w:p w:rsidR="00F54288" w:rsidRPr="00F54288" w:rsidRDefault="00F54288" w:rsidP="00F54288">
      <w:pPr>
        <w:spacing w:line="360" w:lineRule="auto"/>
        <w:ind w:firstLine="708"/>
        <w:jc w:val="both"/>
        <w:rPr>
          <w:rFonts w:ascii="Arial" w:hAnsi="Arial" w:cs="Arial"/>
          <w:sz w:val="20"/>
        </w:rPr>
      </w:pPr>
      <w:bookmarkStart w:id="20" w:name="_Hlt37226231"/>
      <w:bookmarkEnd w:id="20"/>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 xml:space="preserve">1. La tasa regulada en esta ordenanza se exigirá en régimen de autoliquidación. Los sujetos pasivos deberán practicar autoliquidación en los impresos habilitados al efecto por la </w:t>
      </w:r>
      <w:r w:rsidRPr="00F54288">
        <w:rPr>
          <w:rFonts w:ascii="Arial" w:hAnsi="Arial" w:cs="Arial"/>
          <w:sz w:val="20"/>
        </w:rPr>
        <w:lastRenderedPageBreak/>
        <w:t xml:space="preserve">Administración municipal y realizar su ingreso en cualquier entidad bancaria autorizada, antes de presentar la correspondiente solicitud de inscripción, no admitiéndose el pago fuera de dicho plazo. </w:t>
      </w: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 xml:space="preserve">2. La falta de pago de la tasa en el plazo señalado en el párrafo anterior, determinará la inadmisión del aspirante a las pruebas selectivas. </w:t>
      </w:r>
    </w:p>
    <w:p w:rsidR="00F54288" w:rsidRPr="00F54288" w:rsidRDefault="00F54288" w:rsidP="00F54288">
      <w:pPr>
        <w:spacing w:line="360" w:lineRule="auto"/>
        <w:ind w:firstLine="708"/>
        <w:jc w:val="both"/>
        <w:rPr>
          <w:rFonts w:ascii="Arial" w:hAnsi="Arial" w:cs="Arial"/>
          <w:sz w:val="20"/>
        </w:rPr>
      </w:pPr>
    </w:p>
    <w:p w:rsidR="00F54288" w:rsidRDefault="00F54288" w:rsidP="00F54288">
      <w:pPr>
        <w:spacing w:line="360" w:lineRule="auto"/>
        <w:ind w:firstLine="708"/>
        <w:jc w:val="both"/>
        <w:rPr>
          <w:rFonts w:ascii="Arial" w:hAnsi="Arial" w:cs="Arial"/>
          <w:sz w:val="20"/>
        </w:rPr>
      </w:pPr>
      <w:r w:rsidRPr="00F54288">
        <w:rPr>
          <w:rFonts w:ascii="Arial" w:hAnsi="Arial" w:cs="Arial"/>
          <w:sz w:val="20"/>
        </w:rPr>
        <w:t xml:space="preserve">3. A la solicitud de inscripción habrá de acompañarse, en todo caso, copia de la autoliquidación, debidamente ingresada. En el caso de que el sujeto pasivo sea una de las personas a que se refiere el artículo 6 de esta ordenanza, deberá acompañarse la documentación que en el mismo se indica. </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4. Cuando por causas no imputables al sujeto pasivo, la actividad técnica y/o administrativa que constituye el hecho imponible de la tasa no se realice, procederá la devolución del importe correspondiente. Procederá, asimismo, la devolución cuando los ingresos se declaren indebidos por resolución o sentencia firmes o cuando se haya producido una modificación sustancial de las bases de convocatoria. Por tanto, no procederá devolución alguna de los derechos de examen en los supuestos de exclusión de las pruebas selectivas por causa imputable al interesado.</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1" w:color="333399"/>
        </w:pBdr>
        <w:shd w:val="clear" w:color="auto" w:fill="FFCC99"/>
        <w:spacing w:line="360" w:lineRule="auto"/>
        <w:ind w:firstLine="709"/>
        <w:jc w:val="both"/>
        <w:rPr>
          <w:rFonts w:ascii="Arial" w:hAnsi="Arial" w:cs="Arial"/>
          <w:b/>
          <w:bCs/>
          <w:iCs/>
          <w:color w:val="333399"/>
          <w:sz w:val="20"/>
        </w:rPr>
      </w:pPr>
      <w:bookmarkStart w:id="21" w:name="a9"/>
      <w:bookmarkEnd w:id="21"/>
      <w:r w:rsidRPr="00F54288">
        <w:rPr>
          <w:rFonts w:ascii="Arial" w:hAnsi="Arial" w:cs="Arial"/>
          <w:b/>
          <w:bCs/>
          <w:iCs/>
          <w:color w:val="333399"/>
          <w:sz w:val="20"/>
        </w:rPr>
        <w:t>ARTÍCULO 9. Infracciones y Sanciones</w:t>
      </w:r>
    </w:p>
    <w:p w:rsidR="00F54288" w:rsidRPr="00F54288" w:rsidRDefault="00F54288" w:rsidP="00F54288">
      <w:pPr>
        <w:spacing w:line="360" w:lineRule="auto"/>
        <w:ind w:firstLine="708"/>
        <w:jc w:val="both"/>
        <w:rPr>
          <w:rFonts w:ascii="Arial" w:hAnsi="Arial" w:cs="Arial"/>
          <w:sz w:val="20"/>
        </w:rPr>
      </w:pPr>
      <w:bookmarkStart w:id="22" w:name="_Hlt37226236"/>
      <w:bookmarkEnd w:id="22"/>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En todo lo referente a infracciones y sanciones, será de aplicación la Ley 58/2003, de 17 de diciembre, General Tributaria, en concreto los artículos 181 y siguientes, así como sus disposiciones de desarrollo, según lo dispuesto en el artículo 11 el Texto Refundido de la Ley Reguladora de las Haciendas Locales, aprobado por el Real Decreto Legislativo 2/2004, de 5 de marzo.</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pBdr>
          <w:top w:val="single" w:sz="4" w:space="2" w:color="333399"/>
          <w:left w:val="single" w:sz="4" w:space="0" w:color="333399"/>
          <w:bottom w:val="single" w:sz="4" w:space="0" w:color="333399"/>
          <w:right w:val="single" w:sz="4" w:space="1" w:color="333399"/>
        </w:pBdr>
        <w:shd w:val="clear" w:color="auto" w:fill="FFCC99"/>
        <w:spacing w:line="360" w:lineRule="auto"/>
        <w:ind w:firstLine="709"/>
        <w:rPr>
          <w:rFonts w:ascii="Arial" w:hAnsi="Arial" w:cs="Arial"/>
          <w:b/>
          <w:bCs/>
          <w:iCs/>
          <w:color w:val="333399"/>
          <w:sz w:val="20"/>
        </w:rPr>
      </w:pPr>
      <w:bookmarkStart w:id="23" w:name="a10"/>
      <w:bookmarkEnd w:id="23"/>
      <w:r w:rsidRPr="00F54288">
        <w:rPr>
          <w:rFonts w:ascii="Arial" w:hAnsi="Arial" w:cs="Arial"/>
          <w:b/>
          <w:bCs/>
          <w:iCs/>
          <w:color w:val="333399"/>
          <w:sz w:val="20"/>
        </w:rPr>
        <w:t>ARTÍCULO 10. Legislación Aplicable</w:t>
      </w:r>
    </w:p>
    <w:p w:rsidR="00F54288" w:rsidRPr="00F54288" w:rsidRDefault="00F54288" w:rsidP="00F54288">
      <w:pPr>
        <w:spacing w:line="360" w:lineRule="auto"/>
        <w:jc w:val="both"/>
        <w:rPr>
          <w:rFonts w:ascii="Arial" w:hAnsi="Arial" w:cs="Arial"/>
          <w:sz w:val="20"/>
        </w:rPr>
      </w:pPr>
    </w:p>
    <w:p w:rsidR="00F54288" w:rsidRPr="00F54288" w:rsidRDefault="00F54288" w:rsidP="00F54288">
      <w:pPr>
        <w:spacing w:line="360" w:lineRule="auto"/>
        <w:ind w:right="71" w:firstLine="708"/>
        <w:jc w:val="both"/>
        <w:rPr>
          <w:rFonts w:ascii="Arial" w:hAnsi="Arial" w:cs="Arial"/>
          <w:sz w:val="17"/>
          <w:szCs w:val="17"/>
        </w:rPr>
      </w:pPr>
      <w:r w:rsidRPr="00F54288">
        <w:rPr>
          <w:rFonts w:ascii="Arial" w:hAnsi="Arial" w:cs="Arial"/>
          <w:sz w:val="20"/>
        </w:rPr>
        <w:t xml:space="preserve">En todo lo no previsto en la presente Ordenanza se estará a lo dispuesto en el Texto Refundido de la Ley Reguladora de las Haciendas Locales, aprobado por el Real Decreto Legislativo 2/2004, de 5 de marzo, la Ley 7/1985, de 2 de abril, Reguladora de las Bases de Régimen Local, </w:t>
      </w:r>
      <w:r w:rsidRPr="00F54288">
        <w:rPr>
          <w:rFonts w:ascii="Arial" w:hAnsi="Arial" w:cs="Arial"/>
          <w:sz w:val="20"/>
          <w:szCs w:val="20"/>
        </w:rPr>
        <w:t xml:space="preserve">la </w:t>
      </w:r>
      <w:r w:rsidRPr="00F54288">
        <w:rPr>
          <w:rFonts w:ascii="Arial" w:hAnsi="Arial" w:cs="Arial"/>
          <w:bCs/>
          <w:sz w:val="20"/>
          <w:szCs w:val="20"/>
        </w:rPr>
        <w:t>Ley 58/2003, de 17 de diciembre, General Tributaria</w:t>
      </w:r>
      <w:r w:rsidRPr="00F54288">
        <w:rPr>
          <w:rFonts w:ascii="Arial" w:hAnsi="Arial" w:cs="Arial"/>
          <w:sz w:val="20"/>
          <w:szCs w:val="20"/>
        </w:rPr>
        <w:t>, la Ley</w:t>
      </w:r>
      <w:r w:rsidRPr="00F54288">
        <w:rPr>
          <w:rFonts w:ascii="Arial" w:hAnsi="Arial" w:cs="Arial"/>
          <w:sz w:val="20"/>
        </w:rPr>
        <w:t xml:space="preserve"> 8/1989, de 13 de abril, de Tasas y Precios Públicos, así como en la Ordenanza Fiscal General aprobada por este Ayuntamiento.</w:t>
      </w:r>
    </w:p>
    <w:p w:rsidR="00F54288" w:rsidRPr="00F54288" w:rsidRDefault="00F54288" w:rsidP="00F54288">
      <w:pPr>
        <w:spacing w:line="360" w:lineRule="auto"/>
        <w:ind w:firstLine="708"/>
        <w:jc w:val="both"/>
        <w:rPr>
          <w:rFonts w:ascii="Arial" w:hAnsi="Arial" w:cs="Arial"/>
          <w:sz w:val="20"/>
        </w:rPr>
      </w:pPr>
    </w:p>
    <w:p w:rsidR="00F54288" w:rsidRPr="00F54288" w:rsidRDefault="00F54288" w:rsidP="00F54288">
      <w:pPr>
        <w:keepNext/>
        <w:pBdr>
          <w:top w:val="single" w:sz="4" w:space="1" w:color="333399"/>
          <w:left w:val="single" w:sz="4" w:space="0" w:color="333399"/>
          <w:bottom w:val="single" w:sz="4" w:space="1" w:color="333399"/>
          <w:right w:val="single" w:sz="4" w:space="0" w:color="333399"/>
        </w:pBdr>
        <w:shd w:val="clear" w:color="auto" w:fill="FFCC99"/>
        <w:spacing w:line="360" w:lineRule="auto"/>
        <w:ind w:firstLine="709"/>
        <w:jc w:val="both"/>
        <w:rPr>
          <w:rFonts w:ascii="Arial" w:hAnsi="Arial" w:cs="Arial"/>
          <w:b/>
          <w:bCs/>
          <w:iCs/>
          <w:color w:val="333399"/>
          <w:sz w:val="20"/>
        </w:rPr>
      </w:pPr>
      <w:bookmarkStart w:id="24" w:name="df"/>
      <w:bookmarkEnd w:id="24"/>
      <w:r w:rsidRPr="00F54288">
        <w:rPr>
          <w:rFonts w:ascii="Arial" w:hAnsi="Arial" w:cs="Arial"/>
          <w:b/>
          <w:bCs/>
          <w:iCs/>
          <w:color w:val="333399"/>
          <w:sz w:val="20"/>
        </w:rPr>
        <w:lastRenderedPageBreak/>
        <w:t>DISPOSICIÓN FINAL</w:t>
      </w:r>
    </w:p>
    <w:p w:rsidR="00F54288" w:rsidRPr="00F54288" w:rsidRDefault="00F54288" w:rsidP="00F54288">
      <w:pPr>
        <w:spacing w:line="360" w:lineRule="auto"/>
        <w:ind w:firstLine="708"/>
        <w:jc w:val="both"/>
        <w:rPr>
          <w:rFonts w:ascii="Arial" w:hAnsi="Arial" w:cs="Arial"/>
          <w:sz w:val="20"/>
        </w:rPr>
      </w:pPr>
      <w:bookmarkStart w:id="25" w:name="_Hlt37223817"/>
      <w:bookmarkEnd w:id="25"/>
    </w:p>
    <w:p w:rsidR="00F54288" w:rsidRPr="00F54288" w:rsidRDefault="00F54288" w:rsidP="00F54288">
      <w:pPr>
        <w:spacing w:line="360" w:lineRule="auto"/>
        <w:ind w:firstLine="708"/>
        <w:jc w:val="both"/>
        <w:rPr>
          <w:rFonts w:ascii="Arial" w:hAnsi="Arial" w:cs="Arial"/>
          <w:sz w:val="20"/>
        </w:rPr>
      </w:pPr>
      <w:r w:rsidRPr="00F54288">
        <w:rPr>
          <w:rFonts w:ascii="Arial" w:hAnsi="Arial" w:cs="Arial"/>
          <w:sz w:val="20"/>
        </w:rPr>
        <w:t xml:space="preserve">La presente Ordenanza fiscal, cuya redacción definitiva ha sido aprobada por el Pleno del Ayuntamiento en sesión celebrada en fecha _______________, entrará en vigor el mismo día de su publicación en el </w:t>
      </w:r>
      <w:r w:rsidRPr="00F54288">
        <w:rPr>
          <w:rFonts w:ascii="Arial" w:hAnsi="Arial" w:cs="Arial"/>
          <w:i/>
          <w:iCs/>
          <w:sz w:val="20"/>
        </w:rPr>
        <w:t>Boletín Oficial de la Provincia</w:t>
      </w:r>
      <w:r w:rsidRPr="00F54288">
        <w:rPr>
          <w:rFonts w:ascii="Arial" w:hAnsi="Arial" w:cs="Arial"/>
          <w:sz w:val="20"/>
        </w:rPr>
        <w:t xml:space="preserve"> y será de aplicación a partir de la fecha ______________, permaneciendo en vigor hasta su modificación o derogación expresa.</w:t>
      </w: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spacing w:line="360" w:lineRule="auto"/>
        <w:ind w:firstLine="709"/>
        <w:jc w:val="both"/>
        <w:rPr>
          <w:rFonts w:ascii="Arial" w:hAnsi="Arial" w:cs="Arial"/>
          <w:sz w:val="20"/>
        </w:rPr>
      </w:pPr>
    </w:p>
    <w:p w:rsidR="00F54288" w:rsidRPr="00F54288" w:rsidRDefault="00F54288" w:rsidP="00F54288">
      <w:pPr>
        <w:spacing w:line="360" w:lineRule="auto"/>
        <w:ind w:firstLine="709"/>
        <w:jc w:val="center"/>
        <w:rPr>
          <w:rFonts w:ascii="Arial" w:hAnsi="Arial" w:cs="Arial"/>
          <w:b/>
          <w:sz w:val="20"/>
        </w:rPr>
      </w:pPr>
      <w:r w:rsidRPr="00F54288">
        <w:rPr>
          <w:rFonts w:ascii="Arial" w:hAnsi="Arial" w:cs="Arial"/>
          <w:b/>
          <w:sz w:val="20"/>
        </w:rPr>
        <w:t>DOCUMENTO FIRMADO ELECTRÓNICAMENTE</w:t>
      </w:r>
    </w:p>
    <w:p w:rsidR="00E47C30" w:rsidRDefault="00E47C30" w:rsidP="00E47C30">
      <w:pPr>
        <w:jc w:val="center"/>
        <w:rPr>
          <w:rFonts w:ascii="Arial" w:hAnsi="Arial" w:cs="Arial"/>
          <w:sz w:val="20"/>
          <w:szCs w:val="20"/>
        </w:rPr>
      </w:pPr>
    </w:p>
    <w:sectPr w:rsidR="00E47C30" w:rsidSect="00E558CF">
      <w:headerReference w:type="even" r:id="rId9"/>
      <w:headerReference w:type="default" r:id="rId10"/>
      <w:footerReference w:type="default" r:id="rId11"/>
      <w:pgSz w:w="11906" w:h="16838"/>
      <w:pgMar w:top="2696" w:right="1701" w:bottom="1418" w:left="1701" w:header="357"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CA" w:rsidRDefault="003B0ECA">
      <w:r>
        <w:separator/>
      </w:r>
    </w:p>
  </w:endnote>
  <w:endnote w:type="continuationSeparator" w:id="0">
    <w:p w:rsidR="003B0ECA" w:rsidRDefault="003B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FB" w:rsidRPr="00E25016" w:rsidRDefault="003B0ECA" w:rsidP="00F93774">
    <w:pPr>
      <w:pStyle w:val="Piedepgina"/>
      <w:jc w:val="center"/>
      <w:rPr>
        <w:rFonts w:ascii="Arial" w:hAnsi="Arial" w:cs="Arial"/>
        <w:sz w:val="16"/>
        <w:szCs w:val="16"/>
        <w:lang w:val="pt-BR"/>
      </w:rPr>
    </w:pPr>
    <w:hyperlink r:id="rId1" w:history="1">
      <w:r w:rsidR="00A047FB" w:rsidRPr="00E25016">
        <w:rPr>
          <w:rStyle w:val="Hipervnculo"/>
          <w:rFonts w:ascii="Arial" w:hAnsi="Arial" w:cs="Arial"/>
          <w:color w:val="auto"/>
          <w:sz w:val="16"/>
          <w:szCs w:val="16"/>
          <w:u w:val="none"/>
          <w:lang w:val="pt-BR"/>
        </w:rPr>
        <w:t>http://www.cehegin.</w:t>
      </w:r>
    </w:hyperlink>
    <w:proofErr w:type="gramStart"/>
    <w:r w:rsidR="00A047FB" w:rsidRPr="00E25016">
      <w:rPr>
        <w:rFonts w:ascii="Arial" w:hAnsi="Arial" w:cs="Arial"/>
        <w:sz w:val="16"/>
        <w:szCs w:val="16"/>
      </w:rPr>
      <w:t>es</w:t>
    </w:r>
    <w:proofErr w:type="gramEnd"/>
    <w:r w:rsidR="00A047FB" w:rsidRPr="00E25016">
      <w:rPr>
        <w:rFonts w:ascii="Arial" w:hAnsi="Arial" w:cs="Arial"/>
        <w:sz w:val="16"/>
        <w:szCs w:val="16"/>
        <w:lang w:val="pt-BR"/>
      </w:rPr>
      <w:t xml:space="preserve">                       E-mail: </w:t>
    </w:r>
    <w:hyperlink r:id="rId2" w:history="1">
      <w:r w:rsidR="00E25016" w:rsidRPr="00E25016">
        <w:rPr>
          <w:rStyle w:val="Hipervnculo"/>
          <w:rFonts w:ascii="Arial" w:hAnsi="Arial" w:cs="Arial"/>
          <w:sz w:val="16"/>
          <w:szCs w:val="16"/>
          <w:lang w:val="pt-BR"/>
        </w:rPr>
        <w:t>ayuntamiento@cehegin.es</w:t>
      </w:r>
    </w:hyperlink>
  </w:p>
  <w:p w:rsidR="00E25016" w:rsidRPr="00E25016" w:rsidRDefault="00E25016" w:rsidP="00F93774">
    <w:pPr>
      <w:pStyle w:val="Piedepgina"/>
      <w:jc w:val="center"/>
      <w:rPr>
        <w:rFonts w:ascii="Arial" w:hAnsi="Arial" w:cs="Arial"/>
        <w:sz w:val="16"/>
        <w:szCs w:val="16"/>
        <w:lang w:val="pt-BR"/>
      </w:rPr>
    </w:pPr>
    <w:proofErr w:type="spellStart"/>
    <w:r w:rsidRPr="00E25016">
      <w:rPr>
        <w:rFonts w:ascii="Arial" w:hAnsi="Arial" w:cs="Arial"/>
        <w:b/>
        <w:sz w:val="16"/>
        <w:szCs w:val="16"/>
        <w:u w:val="single"/>
        <w:lang w:val="pt-BR"/>
      </w:rPr>
      <w:t>Dirección</w:t>
    </w:r>
    <w:proofErr w:type="spellEnd"/>
    <w:r w:rsidRPr="00E25016">
      <w:rPr>
        <w:rFonts w:ascii="Arial" w:hAnsi="Arial" w:cs="Arial"/>
        <w:b/>
        <w:sz w:val="16"/>
        <w:szCs w:val="16"/>
        <w:u w:val="single"/>
        <w:lang w:val="pt-BR"/>
      </w:rPr>
      <w:t xml:space="preserve"> Postal</w:t>
    </w:r>
    <w:r w:rsidRPr="00E25016">
      <w:rPr>
        <w:rFonts w:ascii="Arial" w:hAnsi="Arial" w:cs="Arial"/>
        <w:sz w:val="16"/>
        <w:szCs w:val="16"/>
        <w:lang w:val="pt-BR"/>
      </w:rPr>
      <w:t xml:space="preserve">: 30430-López </w:t>
    </w:r>
    <w:proofErr w:type="gramStart"/>
    <w:r w:rsidRPr="00E25016">
      <w:rPr>
        <w:rFonts w:ascii="Arial" w:hAnsi="Arial" w:cs="Arial"/>
        <w:sz w:val="16"/>
        <w:szCs w:val="16"/>
        <w:lang w:val="pt-BR"/>
      </w:rPr>
      <w:t>Chicheri,</w:t>
    </w:r>
    <w:proofErr w:type="gramEnd"/>
    <w:r w:rsidRPr="00E25016">
      <w:rPr>
        <w:rFonts w:ascii="Arial" w:hAnsi="Arial" w:cs="Arial"/>
        <w:sz w:val="16"/>
        <w:szCs w:val="16"/>
        <w:lang w:val="pt-BR"/>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CA" w:rsidRDefault="003B0ECA">
      <w:r>
        <w:separator/>
      </w:r>
    </w:p>
  </w:footnote>
  <w:footnote w:type="continuationSeparator" w:id="0">
    <w:p w:rsidR="003B0ECA" w:rsidRDefault="003B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C" w:rsidRDefault="00FB159C">
    <w:pPr>
      <w:pStyle w:val="Encabezado"/>
    </w:pPr>
    <w:r>
      <w:rPr>
        <w:noProof/>
      </w:rPr>
      <w:drawing>
        <wp:inline distT="0" distB="0" distL="0" distR="0" wp14:anchorId="10CE9774" wp14:editId="6094EB12">
          <wp:extent cx="753110" cy="836930"/>
          <wp:effectExtent l="0" t="0" r="8890" b="1270"/>
          <wp:docPr id="2" name="Imagen 2" descr="C:\DOCUMENTOS\DOCUMENT\INTERVENTOR ACCTAL\ESCUDO CEHEGIN\ESCUDO AYT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DOCUMENT\INTERVENTOR ACCTAL\ESCUDO CEHEGIN\ESCUDO AYTO BLANCO Y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8369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FB" w:rsidRDefault="00A047FB" w:rsidP="00336715">
    <w:pPr>
      <w:pStyle w:val="Encabezado"/>
    </w:pPr>
  </w:p>
  <w:p w:rsidR="00A047FB" w:rsidRDefault="00FB159C" w:rsidP="009E188D">
    <w:pPr>
      <w:pStyle w:val="Encabezado"/>
      <w:ind w:left="1560"/>
      <w:rPr>
        <w:color w:val="C0C0C0"/>
        <w:sz w:val="12"/>
        <w:szCs w:val="12"/>
      </w:rPr>
    </w:pPr>
    <w:r>
      <w:rPr>
        <w:noProof/>
        <w:color w:val="C0C0C0"/>
        <w:sz w:val="12"/>
        <w:szCs w:val="12"/>
      </w:rPr>
      <w:drawing>
        <wp:inline distT="0" distB="0" distL="0" distR="0" wp14:anchorId="4C0AF8A4" wp14:editId="5BF18305">
          <wp:extent cx="788895" cy="836705"/>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AYTO BLANCO Y NEGRO.jpg"/>
                  <pic:cNvPicPr/>
                </pic:nvPicPr>
                <pic:blipFill>
                  <a:blip r:embed="rId1">
                    <a:extLst>
                      <a:ext uri="{28A0092B-C50C-407E-A947-70E740481C1C}">
                        <a14:useLocalDpi xmlns:a14="http://schemas.microsoft.com/office/drawing/2010/main" val="0"/>
                      </a:ext>
                    </a:extLst>
                  </a:blip>
                  <a:stretch>
                    <a:fillRect/>
                  </a:stretch>
                </pic:blipFill>
                <pic:spPr>
                  <a:xfrm>
                    <a:off x="0" y="0"/>
                    <a:ext cx="790692" cy="838611"/>
                  </a:xfrm>
                  <a:prstGeom prst="rect">
                    <a:avLst/>
                  </a:prstGeom>
                </pic:spPr>
              </pic:pic>
            </a:graphicData>
          </a:graphic>
        </wp:inline>
      </w:drawing>
    </w:r>
  </w:p>
  <w:p w:rsidR="00FB159C" w:rsidRPr="00FB159C" w:rsidRDefault="00FB159C" w:rsidP="00767A73">
    <w:pPr>
      <w:pStyle w:val="Encabezado"/>
      <w:rPr>
        <w:b/>
        <w:color w:val="000000" w:themeColor="text1"/>
        <w:spacing w:val="-20"/>
        <w:sz w:val="22"/>
        <w:szCs w:val="22"/>
      </w:rPr>
    </w:pPr>
    <w:r w:rsidRPr="00FB159C">
      <w:rPr>
        <w:b/>
        <w:color w:val="000000" w:themeColor="text1"/>
        <w:spacing w:val="-20"/>
        <w:sz w:val="22"/>
        <w:szCs w:val="22"/>
      </w:rPr>
      <w:t>EXCMO. AYUNTAMIENTO DE LA CIUDAD DE CEHEGIN</w:t>
    </w:r>
  </w:p>
  <w:p w:rsidR="00FB159C" w:rsidRPr="00FB159C" w:rsidRDefault="00FB159C" w:rsidP="00767A73">
    <w:pPr>
      <w:pStyle w:val="Encabezado"/>
      <w:rPr>
        <w:b/>
        <w:color w:val="000000" w:themeColor="text1"/>
        <w:spacing w:val="-20"/>
      </w:rPr>
    </w:pPr>
    <w:r>
      <w:rPr>
        <w:b/>
        <w:color w:val="000000" w:themeColor="text1"/>
        <w:spacing w:val="-20"/>
      </w:rPr>
      <w:t xml:space="preserve">                                          </w:t>
    </w:r>
    <w:r w:rsidRPr="00FB159C">
      <w:rPr>
        <w:b/>
        <w:color w:val="000000" w:themeColor="text1"/>
        <w:spacing w:val="-20"/>
      </w:rPr>
      <w:t>(MURCIA)</w:t>
    </w:r>
  </w:p>
  <w:p w:rsidR="00FB159C" w:rsidRPr="003E1F6F" w:rsidRDefault="00FB159C" w:rsidP="00767A73">
    <w:pPr>
      <w:pStyle w:val="Encabezado"/>
      <w:rPr>
        <w:color w:val="C0C0C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09DF"/>
    <w:rsid w:val="0001365A"/>
    <w:rsid w:val="00052A95"/>
    <w:rsid w:val="0005651C"/>
    <w:rsid w:val="000F7E06"/>
    <w:rsid w:val="00112B28"/>
    <w:rsid w:val="001153CA"/>
    <w:rsid w:val="00117B9D"/>
    <w:rsid w:val="001C0CB4"/>
    <w:rsid w:val="00224DEE"/>
    <w:rsid w:val="00276DDB"/>
    <w:rsid w:val="0029033A"/>
    <w:rsid w:val="002C01D1"/>
    <w:rsid w:val="002C7384"/>
    <w:rsid w:val="00305EDA"/>
    <w:rsid w:val="00310D93"/>
    <w:rsid w:val="00312BC6"/>
    <w:rsid w:val="00336715"/>
    <w:rsid w:val="003470FE"/>
    <w:rsid w:val="00370134"/>
    <w:rsid w:val="00374FF3"/>
    <w:rsid w:val="003B0ECA"/>
    <w:rsid w:val="003E1F6F"/>
    <w:rsid w:val="004071E7"/>
    <w:rsid w:val="004101A3"/>
    <w:rsid w:val="00445789"/>
    <w:rsid w:val="004F7F21"/>
    <w:rsid w:val="00547658"/>
    <w:rsid w:val="00556E21"/>
    <w:rsid w:val="00560A0D"/>
    <w:rsid w:val="005757F8"/>
    <w:rsid w:val="005767AA"/>
    <w:rsid w:val="0060297B"/>
    <w:rsid w:val="00620878"/>
    <w:rsid w:val="006644A5"/>
    <w:rsid w:val="006C18CA"/>
    <w:rsid w:val="006E3E8A"/>
    <w:rsid w:val="006F419E"/>
    <w:rsid w:val="00767A73"/>
    <w:rsid w:val="0079076B"/>
    <w:rsid w:val="007B63DA"/>
    <w:rsid w:val="007D163F"/>
    <w:rsid w:val="00813EB1"/>
    <w:rsid w:val="008A4427"/>
    <w:rsid w:val="008D2753"/>
    <w:rsid w:val="008F48FC"/>
    <w:rsid w:val="009139C5"/>
    <w:rsid w:val="009629F5"/>
    <w:rsid w:val="00974975"/>
    <w:rsid w:val="00997C5B"/>
    <w:rsid w:val="009D1F20"/>
    <w:rsid w:val="009E188D"/>
    <w:rsid w:val="00A047FB"/>
    <w:rsid w:val="00A45C3E"/>
    <w:rsid w:val="00A70EAF"/>
    <w:rsid w:val="00B7373D"/>
    <w:rsid w:val="00BC1592"/>
    <w:rsid w:val="00BE23E0"/>
    <w:rsid w:val="00BE5CE9"/>
    <w:rsid w:val="00C0549D"/>
    <w:rsid w:val="00C63A9A"/>
    <w:rsid w:val="00C903E7"/>
    <w:rsid w:val="00CD6749"/>
    <w:rsid w:val="00D123FF"/>
    <w:rsid w:val="00D3442D"/>
    <w:rsid w:val="00D73091"/>
    <w:rsid w:val="00DD02AD"/>
    <w:rsid w:val="00E11EA5"/>
    <w:rsid w:val="00E242A0"/>
    <w:rsid w:val="00E25016"/>
    <w:rsid w:val="00E47C30"/>
    <w:rsid w:val="00E558CF"/>
    <w:rsid w:val="00F01916"/>
    <w:rsid w:val="00F34BFA"/>
    <w:rsid w:val="00F54288"/>
    <w:rsid w:val="00F93774"/>
    <w:rsid w:val="00FB159C"/>
    <w:rsid w:val="00FC6A5F"/>
    <w:rsid w:val="00FD3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7A"/>
    <w:rPr>
      <w:sz w:val="24"/>
      <w:szCs w:val="24"/>
    </w:rPr>
  </w:style>
  <w:style w:type="paragraph" w:styleId="Ttulo5">
    <w:name w:val="heading 5"/>
    <w:basedOn w:val="Normal"/>
    <w:next w:val="Normal"/>
    <w:qFormat/>
    <w:rsid w:val="00FD3B7A"/>
    <w:pPr>
      <w:keepNext/>
      <w:spacing w:line="360" w:lineRule="auto"/>
      <w:jc w:val="center"/>
      <w:outlineLvl w:val="4"/>
    </w:pPr>
    <w:rPr>
      <w:rFonts w:ascii="Verdana" w:hAnsi="Verdana"/>
      <w:b/>
      <w:bCs/>
      <w:color w:val="333399"/>
      <w:sz w:val="22"/>
    </w:rPr>
  </w:style>
  <w:style w:type="paragraph" w:styleId="Ttulo8">
    <w:name w:val="heading 8"/>
    <w:basedOn w:val="Normal"/>
    <w:next w:val="Normal"/>
    <w:link w:val="Ttulo8Car"/>
    <w:uiPriority w:val="9"/>
    <w:semiHidden/>
    <w:unhideWhenUsed/>
    <w:qFormat/>
    <w:rsid w:val="00F542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93774"/>
    <w:pPr>
      <w:tabs>
        <w:tab w:val="center" w:pos="4252"/>
        <w:tab w:val="right" w:pos="8504"/>
      </w:tabs>
    </w:pPr>
  </w:style>
  <w:style w:type="paragraph" w:styleId="Piedepgina">
    <w:name w:val="footer"/>
    <w:basedOn w:val="Normal"/>
    <w:rsid w:val="00F93774"/>
    <w:pPr>
      <w:tabs>
        <w:tab w:val="center" w:pos="4252"/>
        <w:tab w:val="right" w:pos="8504"/>
      </w:tabs>
    </w:pPr>
  </w:style>
  <w:style w:type="character" w:styleId="Hipervnculo">
    <w:name w:val="Hyperlink"/>
    <w:rsid w:val="00F93774"/>
    <w:rPr>
      <w:color w:val="0000FF"/>
      <w:u w:val="single"/>
    </w:rPr>
  </w:style>
  <w:style w:type="paragraph" w:styleId="Textodeglobo">
    <w:name w:val="Balloon Text"/>
    <w:basedOn w:val="Normal"/>
    <w:semiHidden/>
    <w:rsid w:val="00336715"/>
    <w:rPr>
      <w:rFonts w:ascii="Tahoma" w:hAnsi="Tahoma" w:cs="Tahoma"/>
      <w:sz w:val="16"/>
      <w:szCs w:val="16"/>
    </w:rPr>
  </w:style>
  <w:style w:type="paragraph" w:styleId="Textonotapie">
    <w:name w:val="footnote text"/>
    <w:basedOn w:val="Normal"/>
    <w:link w:val="TextonotapieCar"/>
    <w:rsid w:val="00FD3B7A"/>
    <w:rPr>
      <w:sz w:val="20"/>
      <w:szCs w:val="20"/>
    </w:rPr>
  </w:style>
  <w:style w:type="character" w:styleId="Refdenotaalpie">
    <w:name w:val="footnote reference"/>
    <w:semiHidden/>
    <w:rsid w:val="00FD3B7A"/>
    <w:rPr>
      <w:vertAlign w:val="superscript"/>
    </w:rPr>
  </w:style>
  <w:style w:type="paragraph" w:styleId="Textosinformato">
    <w:name w:val="Plain Text"/>
    <w:basedOn w:val="Normal"/>
    <w:link w:val="TextosinformatoCar"/>
    <w:semiHidden/>
    <w:unhideWhenUsed/>
    <w:rsid w:val="00FD3B7A"/>
    <w:rPr>
      <w:rFonts w:ascii="Courier New" w:hAnsi="Courier New"/>
      <w:sz w:val="20"/>
      <w:szCs w:val="20"/>
    </w:rPr>
  </w:style>
  <w:style w:type="character" w:customStyle="1" w:styleId="TextosinformatoCar">
    <w:name w:val="Texto sin formato Car"/>
    <w:link w:val="Textosinformato"/>
    <w:semiHidden/>
    <w:rsid w:val="00FD3B7A"/>
    <w:rPr>
      <w:rFonts w:ascii="Courier New" w:hAnsi="Courier New"/>
      <w:lang w:val="es-ES" w:eastAsia="es-ES" w:bidi="ar-SA"/>
    </w:rPr>
  </w:style>
  <w:style w:type="paragraph" w:customStyle="1" w:styleId="Default">
    <w:name w:val="Default"/>
    <w:rsid w:val="00FD3B7A"/>
    <w:pPr>
      <w:autoSpaceDE w:val="0"/>
      <w:autoSpaceDN w:val="0"/>
      <w:adjustRightInd w:val="0"/>
    </w:pPr>
    <w:rPr>
      <w:rFonts w:ascii="Calibri" w:hAnsi="Calibri" w:cs="Calibri"/>
      <w:color w:val="000000"/>
      <w:sz w:val="24"/>
      <w:szCs w:val="24"/>
    </w:rPr>
  </w:style>
  <w:style w:type="character" w:customStyle="1" w:styleId="TextonotapieCar">
    <w:name w:val="Texto nota pie Car"/>
    <w:link w:val="Textonotapie"/>
    <w:rsid w:val="00FD3B7A"/>
    <w:rPr>
      <w:lang w:val="es-ES" w:eastAsia="es-ES" w:bidi="ar-SA"/>
    </w:rPr>
  </w:style>
  <w:style w:type="character" w:customStyle="1" w:styleId="Ttulo8Car">
    <w:name w:val="Título 8 Car"/>
    <w:basedOn w:val="Fuentedeprrafopredeter"/>
    <w:link w:val="Ttulo8"/>
    <w:uiPriority w:val="9"/>
    <w:semiHidden/>
    <w:rsid w:val="00F54288"/>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7A"/>
    <w:rPr>
      <w:sz w:val="24"/>
      <w:szCs w:val="24"/>
    </w:rPr>
  </w:style>
  <w:style w:type="paragraph" w:styleId="Ttulo5">
    <w:name w:val="heading 5"/>
    <w:basedOn w:val="Normal"/>
    <w:next w:val="Normal"/>
    <w:qFormat/>
    <w:rsid w:val="00FD3B7A"/>
    <w:pPr>
      <w:keepNext/>
      <w:spacing w:line="360" w:lineRule="auto"/>
      <w:jc w:val="center"/>
      <w:outlineLvl w:val="4"/>
    </w:pPr>
    <w:rPr>
      <w:rFonts w:ascii="Verdana" w:hAnsi="Verdana"/>
      <w:b/>
      <w:bCs/>
      <w:color w:val="333399"/>
      <w:sz w:val="22"/>
    </w:rPr>
  </w:style>
  <w:style w:type="paragraph" w:styleId="Ttulo8">
    <w:name w:val="heading 8"/>
    <w:basedOn w:val="Normal"/>
    <w:next w:val="Normal"/>
    <w:link w:val="Ttulo8Car"/>
    <w:uiPriority w:val="9"/>
    <w:semiHidden/>
    <w:unhideWhenUsed/>
    <w:qFormat/>
    <w:rsid w:val="00F542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93774"/>
    <w:pPr>
      <w:tabs>
        <w:tab w:val="center" w:pos="4252"/>
        <w:tab w:val="right" w:pos="8504"/>
      </w:tabs>
    </w:pPr>
  </w:style>
  <w:style w:type="paragraph" w:styleId="Piedepgina">
    <w:name w:val="footer"/>
    <w:basedOn w:val="Normal"/>
    <w:rsid w:val="00F93774"/>
    <w:pPr>
      <w:tabs>
        <w:tab w:val="center" w:pos="4252"/>
        <w:tab w:val="right" w:pos="8504"/>
      </w:tabs>
    </w:pPr>
  </w:style>
  <w:style w:type="character" w:styleId="Hipervnculo">
    <w:name w:val="Hyperlink"/>
    <w:rsid w:val="00F93774"/>
    <w:rPr>
      <w:color w:val="0000FF"/>
      <w:u w:val="single"/>
    </w:rPr>
  </w:style>
  <w:style w:type="paragraph" w:styleId="Textodeglobo">
    <w:name w:val="Balloon Text"/>
    <w:basedOn w:val="Normal"/>
    <w:semiHidden/>
    <w:rsid w:val="00336715"/>
    <w:rPr>
      <w:rFonts w:ascii="Tahoma" w:hAnsi="Tahoma" w:cs="Tahoma"/>
      <w:sz w:val="16"/>
      <w:szCs w:val="16"/>
    </w:rPr>
  </w:style>
  <w:style w:type="paragraph" w:styleId="Textonotapie">
    <w:name w:val="footnote text"/>
    <w:basedOn w:val="Normal"/>
    <w:link w:val="TextonotapieCar"/>
    <w:rsid w:val="00FD3B7A"/>
    <w:rPr>
      <w:sz w:val="20"/>
      <w:szCs w:val="20"/>
    </w:rPr>
  </w:style>
  <w:style w:type="character" w:styleId="Refdenotaalpie">
    <w:name w:val="footnote reference"/>
    <w:semiHidden/>
    <w:rsid w:val="00FD3B7A"/>
    <w:rPr>
      <w:vertAlign w:val="superscript"/>
    </w:rPr>
  </w:style>
  <w:style w:type="paragraph" w:styleId="Textosinformato">
    <w:name w:val="Plain Text"/>
    <w:basedOn w:val="Normal"/>
    <w:link w:val="TextosinformatoCar"/>
    <w:semiHidden/>
    <w:unhideWhenUsed/>
    <w:rsid w:val="00FD3B7A"/>
    <w:rPr>
      <w:rFonts w:ascii="Courier New" w:hAnsi="Courier New"/>
      <w:sz w:val="20"/>
      <w:szCs w:val="20"/>
    </w:rPr>
  </w:style>
  <w:style w:type="character" w:customStyle="1" w:styleId="TextosinformatoCar">
    <w:name w:val="Texto sin formato Car"/>
    <w:link w:val="Textosinformato"/>
    <w:semiHidden/>
    <w:rsid w:val="00FD3B7A"/>
    <w:rPr>
      <w:rFonts w:ascii="Courier New" w:hAnsi="Courier New"/>
      <w:lang w:val="es-ES" w:eastAsia="es-ES" w:bidi="ar-SA"/>
    </w:rPr>
  </w:style>
  <w:style w:type="paragraph" w:customStyle="1" w:styleId="Default">
    <w:name w:val="Default"/>
    <w:rsid w:val="00FD3B7A"/>
    <w:pPr>
      <w:autoSpaceDE w:val="0"/>
      <w:autoSpaceDN w:val="0"/>
      <w:adjustRightInd w:val="0"/>
    </w:pPr>
    <w:rPr>
      <w:rFonts w:ascii="Calibri" w:hAnsi="Calibri" w:cs="Calibri"/>
      <w:color w:val="000000"/>
      <w:sz w:val="24"/>
      <w:szCs w:val="24"/>
    </w:rPr>
  </w:style>
  <w:style w:type="character" w:customStyle="1" w:styleId="TextonotapieCar">
    <w:name w:val="Texto nota pie Car"/>
    <w:link w:val="Textonotapie"/>
    <w:rsid w:val="00FD3B7A"/>
    <w:rPr>
      <w:lang w:val="es-ES" w:eastAsia="es-ES" w:bidi="ar-SA"/>
    </w:rPr>
  </w:style>
  <w:style w:type="character" w:customStyle="1" w:styleId="Ttulo8Car">
    <w:name w:val="Título 8 Car"/>
    <w:basedOn w:val="Fuentedeprrafopredeter"/>
    <w:link w:val="Ttulo8"/>
    <w:uiPriority w:val="9"/>
    <w:semiHidden/>
    <w:rsid w:val="00F54288"/>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yuntamiento@cehegin.es" TargetMode="External"/><Relationship Id="rId1" Type="http://schemas.openxmlformats.org/officeDocument/2006/relationships/hyperlink" Target="http://www.ceheg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B297-3785-4AF2-A935-3A2DD0DF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Links>
    <vt:vector size="6" baseType="variant">
      <vt:variant>
        <vt:i4>2556024</vt:i4>
      </vt:variant>
      <vt:variant>
        <vt:i4>0</vt:i4>
      </vt:variant>
      <vt:variant>
        <vt:i4>0</vt:i4>
      </vt:variant>
      <vt:variant>
        <vt:i4>5</vt:i4>
      </vt:variant>
      <vt:variant>
        <vt:lpwstr>http://www.cehegin.com/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Laura</cp:lastModifiedBy>
  <cp:revision>11</cp:revision>
  <cp:lastPrinted>2020-06-29T07:46:00Z</cp:lastPrinted>
  <dcterms:created xsi:type="dcterms:W3CDTF">2019-12-13T10:05:00Z</dcterms:created>
  <dcterms:modified xsi:type="dcterms:W3CDTF">2020-06-29T08:02:00Z</dcterms:modified>
</cp:coreProperties>
</file>